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A7D2" w14:textId="77777777" w:rsidR="00C12039" w:rsidRPr="00F76FF1" w:rsidRDefault="00C12039" w:rsidP="00C12039">
      <w:pPr>
        <w:spacing w:before="120"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164CFD0E" w14:textId="77777777" w:rsidR="00C12039" w:rsidRPr="00F76FF1" w:rsidRDefault="00C12039" w:rsidP="00C12039">
      <w:pPr>
        <w:rPr>
          <w:rFonts w:ascii="Open Sans" w:hAnsi="Open Sans" w:cs="Open Sans"/>
          <w:b/>
          <w:sz w:val="24"/>
          <w:u w:val="single"/>
        </w:rPr>
      </w:pPr>
    </w:p>
    <w:p w14:paraId="2294CCCB" w14:textId="77777777" w:rsidR="00C12039" w:rsidRPr="00F76FF1" w:rsidRDefault="00C12039" w:rsidP="00C12039">
      <w:pPr>
        <w:tabs>
          <w:tab w:val="left" w:pos="1485"/>
        </w:tabs>
        <w:rPr>
          <w:rFonts w:ascii="Open Sans" w:hAnsi="Open Sans" w:cs="Open Sans"/>
        </w:rPr>
      </w:pPr>
      <w:r>
        <w:rPr>
          <w:rFonts w:ascii="Open Sans" w:hAnsi="Open Sans" w:cs="Open Sans"/>
          <w:lang w:val="en-US"/>
        </w:rPr>
        <w:tab/>
      </w:r>
      <w:r w:rsidRPr="00F76FF1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1" allowOverlap="1" wp14:anchorId="0E67C493" wp14:editId="3DECF97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48050" cy="10677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13EE5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1656A50B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15066646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318E45A6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3A12D050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7ECE7330" w14:textId="77777777" w:rsidR="00C12039" w:rsidRPr="00F76FF1" w:rsidRDefault="00C12039" w:rsidP="00C12039">
      <w:pPr>
        <w:rPr>
          <w:rFonts w:ascii="Open Sans" w:hAnsi="Open Sans" w:cs="Open Sans"/>
        </w:rPr>
      </w:pPr>
      <w:r w:rsidRPr="00F76FF1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A4D2D" wp14:editId="3CDF8B1E">
                <wp:simplePos x="0" y="0"/>
                <wp:positionH relativeFrom="page">
                  <wp:posOffset>152400</wp:posOffset>
                </wp:positionH>
                <wp:positionV relativeFrom="paragraph">
                  <wp:posOffset>248285</wp:posOffset>
                </wp:positionV>
                <wp:extent cx="7219950" cy="2917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91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8734" w14:textId="77777777" w:rsidR="00C12039" w:rsidRPr="00702237" w:rsidRDefault="00C12039" w:rsidP="00C120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UNIT OUTLINE</w:t>
                            </w:r>
                          </w:p>
                          <w:p w14:paraId="171CADA2" w14:textId="77777777" w:rsidR="00C12039" w:rsidRPr="00702237" w:rsidRDefault="00C12039" w:rsidP="00C120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Unit Code: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5F0135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CO213</w:t>
                            </w:r>
                          </w:p>
                          <w:p w14:paraId="423DEE3A" w14:textId="77777777" w:rsidR="00C12039" w:rsidRPr="00702237" w:rsidRDefault="00C12039" w:rsidP="00C12039">
                            <w:pPr>
                              <w:ind w:left="2880" w:hanging="2880"/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Unit Title: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5F0135"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Introduction to Mental Health</w:t>
                            </w:r>
                          </w:p>
                          <w:p w14:paraId="5CE900C2" w14:textId="77777777" w:rsidR="00C12039" w:rsidRPr="00702237" w:rsidRDefault="00C12039" w:rsidP="00C120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Semester: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1CEFC93" w14:textId="77777777" w:rsidR="00C12039" w:rsidRPr="00702237" w:rsidRDefault="00C12039" w:rsidP="00C120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Year: </w:t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 w:rsidRPr="00702237"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Open Sans" w:eastAsia="Arial" w:hAnsi="Open Sans" w:cs="Open Sans"/>
                                <w:b/>
                                <w:color w:val="000000"/>
                                <w:spacing w:val="-1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4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9.55pt;width:568.5pt;height:2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" filled="f" stroked="f">
                <v:textbox>
                  <w:txbxContent>
                    <w:p w14:paraId="50318734" w14:textId="77777777" w:rsidR="00C12039" w:rsidRPr="00702237" w:rsidRDefault="00C12039" w:rsidP="00C12039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>UNIT OUTLINE</w:t>
                      </w:r>
                    </w:p>
                    <w:p w14:paraId="171CADA2" w14:textId="77777777" w:rsidR="00C12039" w:rsidRPr="00702237" w:rsidRDefault="00C12039" w:rsidP="00C12039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Unit Code: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5F0135"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CO213</w:t>
                      </w:r>
                    </w:p>
                    <w:p w14:paraId="423DEE3A" w14:textId="77777777" w:rsidR="00C12039" w:rsidRPr="00702237" w:rsidRDefault="00C12039" w:rsidP="00C12039">
                      <w:pPr>
                        <w:ind w:left="2880" w:hanging="2880"/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Unit Title: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5F0135"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Introduction to Mental Health</w:t>
                      </w:r>
                    </w:p>
                    <w:p w14:paraId="5CE900C2" w14:textId="77777777" w:rsidR="00C12039" w:rsidRPr="00702237" w:rsidRDefault="00C12039" w:rsidP="00C12039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Semester: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S</w:t>
                      </w:r>
                    </w:p>
                    <w:p w14:paraId="71CEFC93" w14:textId="77777777" w:rsidR="00C12039" w:rsidRPr="00702237" w:rsidRDefault="00C12039" w:rsidP="00C12039">
                      <w:pP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Year: </w:t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 w:rsidRPr="00702237"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002060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Open Sans" w:eastAsia="Arial" w:hAnsi="Open Sans" w:cs="Open Sans"/>
                          <w:b/>
                          <w:color w:val="000000"/>
                          <w:spacing w:val="-1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125E861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3650B977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51E7D71B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46340E96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562059EC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32268CE0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0BF7348F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25A81ADB" w14:textId="77777777" w:rsidR="00C12039" w:rsidRPr="00F76FF1" w:rsidRDefault="00C12039" w:rsidP="00C12039">
      <w:pPr>
        <w:tabs>
          <w:tab w:val="left" w:pos="5610"/>
        </w:tabs>
        <w:rPr>
          <w:rFonts w:ascii="Open Sans" w:hAnsi="Open Sans" w:cs="Open Sans"/>
        </w:rPr>
      </w:pPr>
      <w:r w:rsidRPr="00F76FF1">
        <w:rPr>
          <w:rFonts w:ascii="Open Sans" w:hAnsi="Open Sans" w:cs="Open Sans"/>
        </w:rPr>
        <w:tab/>
      </w:r>
    </w:p>
    <w:p w14:paraId="3D1B1348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52BF952F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1ACB18B9" w14:textId="77777777" w:rsidR="00C12039" w:rsidRPr="00F76FF1" w:rsidRDefault="00C12039" w:rsidP="00C12039">
      <w:pPr>
        <w:rPr>
          <w:rFonts w:ascii="Open Sans" w:hAnsi="Open Sans" w:cs="Open Sans"/>
        </w:rPr>
      </w:pPr>
    </w:p>
    <w:p w14:paraId="7C803337" w14:textId="77777777" w:rsidR="00C12039" w:rsidRPr="00F76FF1" w:rsidRDefault="00C12039" w:rsidP="00C12039">
      <w:pPr>
        <w:rPr>
          <w:rFonts w:ascii="Open Sans" w:hAnsi="Open Sans" w:cs="Open Sans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882"/>
      </w:tblGrid>
      <w:tr w:rsidR="00C12039" w:rsidRPr="00F76FF1" w14:paraId="5168725B" w14:textId="77777777" w:rsidTr="00B40A00">
        <w:tc>
          <w:tcPr>
            <w:tcW w:w="1757" w:type="dxa"/>
          </w:tcPr>
          <w:p w14:paraId="5D39C628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Unit code</w:t>
            </w:r>
          </w:p>
        </w:tc>
        <w:tc>
          <w:tcPr>
            <w:tcW w:w="7882" w:type="dxa"/>
          </w:tcPr>
          <w:p w14:paraId="0C73CC11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CO213</w:t>
            </w:r>
          </w:p>
        </w:tc>
      </w:tr>
      <w:tr w:rsidR="00C12039" w:rsidRPr="00F76FF1" w14:paraId="3AC96B4D" w14:textId="77777777" w:rsidTr="00B40A00">
        <w:tc>
          <w:tcPr>
            <w:tcW w:w="1757" w:type="dxa"/>
          </w:tcPr>
          <w:p w14:paraId="2EF7E028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Unit name</w:t>
            </w:r>
          </w:p>
        </w:tc>
        <w:tc>
          <w:tcPr>
            <w:tcW w:w="7882" w:type="dxa"/>
          </w:tcPr>
          <w:p w14:paraId="765F22DD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Introduction to Mental Health</w:t>
            </w:r>
          </w:p>
        </w:tc>
      </w:tr>
      <w:tr w:rsidR="00C12039" w:rsidRPr="00F76FF1" w14:paraId="3714843F" w14:textId="77777777" w:rsidTr="00B40A00">
        <w:tc>
          <w:tcPr>
            <w:tcW w:w="1757" w:type="dxa"/>
          </w:tcPr>
          <w:p w14:paraId="5C263BE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Associated higher education awards</w:t>
            </w:r>
          </w:p>
        </w:tc>
        <w:tc>
          <w:tcPr>
            <w:tcW w:w="7882" w:type="dxa"/>
          </w:tcPr>
          <w:p w14:paraId="41D58322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Bachelor of Counselling</w:t>
            </w:r>
          </w:p>
        </w:tc>
      </w:tr>
      <w:tr w:rsidR="00C12039" w:rsidRPr="00F76FF1" w14:paraId="7A78842C" w14:textId="77777777" w:rsidTr="00B40A00">
        <w:tc>
          <w:tcPr>
            <w:tcW w:w="1757" w:type="dxa"/>
          </w:tcPr>
          <w:p w14:paraId="29223703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Duration</w:t>
            </w:r>
          </w:p>
        </w:tc>
        <w:tc>
          <w:tcPr>
            <w:tcW w:w="7882" w:type="dxa"/>
          </w:tcPr>
          <w:p w14:paraId="20A52491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One semester</w:t>
            </w:r>
          </w:p>
        </w:tc>
      </w:tr>
      <w:tr w:rsidR="00C12039" w:rsidRPr="00F76FF1" w14:paraId="536A93C8" w14:textId="77777777" w:rsidTr="00B40A00">
        <w:tc>
          <w:tcPr>
            <w:tcW w:w="1757" w:type="dxa"/>
          </w:tcPr>
          <w:p w14:paraId="7C738058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Level</w:t>
            </w:r>
          </w:p>
        </w:tc>
        <w:tc>
          <w:tcPr>
            <w:tcW w:w="7882" w:type="dxa"/>
          </w:tcPr>
          <w:p w14:paraId="760FB39D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Intermediate</w:t>
            </w:r>
          </w:p>
        </w:tc>
      </w:tr>
      <w:tr w:rsidR="00C12039" w:rsidRPr="00F76FF1" w14:paraId="30FE43B0" w14:textId="77777777" w:rsidTr="00B40A00">
        <w:tc>
          <w:tcPr>
            <w:tcW w:w="1757" w:type="dxa"/>
          </w:tcPr>
          <w:p w14:paraId="3AB44256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Unit coordinator</w:t>
            </w:r>
          </w:p>
        </w:tc>
        <w:tc>
          <w:tcPr>
            <w:tcW w:w="7882" w:type="dxa"/>
          </w:tcPr>
          <w:p w14:paraId="3061BF8D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Peter Brown</w:t>
            </w:r>
          </w:p>
        </w:tc>
      </w:tr>
      <w:tr w:rsidR="00C12039" w:rsidRPr="00F76FF1" w14:paraId="42E34A8A" w14:textId="77777777" w:rsidTr="00B40A00">
        <w:tc>
          <w:tcPr>
            <w:tcW w:w="1757" w:type="dxa"/>
          </w:tcPr>
          <w:p w14:paraId="25778B02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Core/elective</w:t>
            </w:r>
          </w:p>
        </w:tc>
        <w:tc>
          <w:tcPr>
            <w:tcW w:w="7882" w:type="dxa"/>
          </w:tcPr>
          <w:p w14:paraId="761C9DEC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Core</w:t>
            </w:r>
          </w:p>
        </w:tc>
      </w:tr>
      <w:tr w:rsidR="00C12039" w:rsidRPr="00F76FF1" w14:paraId="40470FDC" w14:textId="77777777" w:rsidTr="00B40A00">
        <w:tc>
          <w:tcPr>
            <w:tcW w:w="1757" w:type="dxa"/>
          </w:tcPr>
          <w:p w14:paraId="24AF67E0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Weighting</w:t>
            </w:r>
          </w:p>
        </w:tc>
        <w:tc>
          <w:tcPr>
            <w:tcW w:w="7882" w:type="dxa"/>
          </w:tcPr>
          <w:p w14:paraId="7830CABF" w14:textId="77777777" w:rsidR="00C12039" w:rsidRPr="00F76FF1" w:rsidRDefault="00C12039" w:rsidP="00B40A00">
            <w:pPr>
              <w:tabs>
                <w:tab w:val="left" w:pos="1986"/>
              </w:tabs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Unit credit points: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ab/>
              <w:t>10</w:t>
            </w:r>
          </w:p>
          <w:p w14:paraId="02DF0171" w14:textId="77777777" w:rsidR="00C12039" w:rsidRPr="00F76FF1" w:rsidRDefault="00C12039" w:rsidP="00B40A00">
            <w:pPr>
              <w:tabs>
                <w:tab w:val="left" w:pos="1986"/>
                <w:tab w:val="right" w:pos="5368"/>
              </w:tabs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Course credit points: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ab/>
              <w:t>240</w:t>
            </w:r>
          </w:p>
        </w:tc>
      </w:tr>
      <w:tr w:rsidR="00C12039" w:rsidRPr="00F76FF1" w14:paraId="6AE2AB40" w14:textId="77777777" w:rsidTr="00B40A00">
        <w:tc>
          <w:tcPr>
            <w:tcW w:w="1757" w:type="dxa"/>
          </w:tcPr>
          <w:p w14:paraId="01385387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Delivery mode</w:t>
            </w:r>
          </w:p>
        </w:tc>
        <w:tc>
          <w:tcPr>
            <w:tcW w:w="7882" w:type="dxa"/>
          </w:tcPr>
          <w:p w14:paraId="68E91C09" w14:textId="77777777" w:rsidR="00C12039" w:rsidRPr="00F76FF1" w:rsidRDefault="00C12039" w:rsidP="00B40A00">
            <w:pPr>
              <w:spacing w:before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Face-to-face on site</w:t>
            </w:r>
          </w:p>
          <w:p w14:paraId="51E575BD" w14:textId="77777777" w:rsidR="00C12039" w:rsidRPr="00F76FF1" w:rsidRDefault="00C12039" w:rsidP="00B40A00">
            <w:pPr>
              <w:spacing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External</w:t>
            </w:r>
          </w:p>
        </w:tc>
      </w:tr>
      <w:tr w:rsidR="00C12039" w:rsidRPr="00F76FF1" w14:paraId="61E7FFBD" w14:textId="77777777" w:rsidTr="00B40A00">
        <w:trPr>
          <w:trHeight w:val="270"/>
        </w:trPr>
        <w:tc>
          <w:tcPr>
            <w:tcW w:w="1757" w:type="dxa"/>
            <w:vMerge w:val="restart"/>
          </w:tcPr>
          <w:p w14:paraId="14D09D0E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Student workload</w:t>
            </w:r>
          </w:p>
        </w:tc>
        <w:tc>
          <w:tcPr>
            <w:tcW w:w="7882" w:type="dxa"/>
          </w:tcPr>
          <w:p w14:paraId="2225DDA8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Face-to-face on site</w:t>
            </w:r>
          </w:p>
          <w:p w14:paraId="21B53905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Contact hours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35 hours</w:t>
            </w:r>
          </w:p>
          <w:p w14:paraId="40593721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Reading, study, and preparation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55 hours</w:t>
            </w:r>
          </w:p>
          <w:p w14:paraId="39A4BD50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Assignment preparation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60 hours</w:t>
            </w:r>
          </w:p>
          <w:p w14:paraId="7FFF751C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TOTAL</w:t>
            </w:r>
            <w:r w:rsidRPr="00F76FF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ab/>
              <w:t>150 hours</w:t>
            </w:r>
          </w:p>
          <w:p w14:paraId="063CA537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rPr>
                <w:rFonts w:ascii="Open Sans" w:eastAsia="Calibri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i/>
                <w:sz w:val="20"/>
                <w:szCs w:val="20"/>
              </w:rPr>
              <w:t>External</w:t>
            </w:r>
          </w:p>
          <w:p w14:paraId="5F9AF423" w14:textId="77777777" w:rsidR="00C12039" w:rsidRPr="00F76FF1" w:rsidRDefault="00C12039" w:rsidP="00B40A00">
            <w:pPr>
              <w:tabs>
                <w:tab w:val="right" w:pos="4854"/>
              </w:tabs>
              <w:spacing w:before="120" w:after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Engagement with study materials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90 hours</w:t>
            </w:r>
          </w:p>
          <w:p w14:paraId="5694D5A7" w14:textId="77777777" w:rsidR="00C12039" w:rsidRPr="00F76FF1" w:rsidRDefault="00C12039" w:rsidP="00B40A00">
            <w:pPr>
              <w:tabs>
                <w:tab w:val="right" w:pos="4854"/>
              </w:tabs>
              <w:spacing w:before="120"/>
              <w:ind w:right="-57"/>
              <w:contextualSpacing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Assignment preparation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ab/>
              <w:t>60 hours</w:t>
            </w:r>
          </w:p>
          <w:p w14:paraId="26D559EF" w14:textId="77777777" w:rsidR="00C12039" w:rsidRPr="00F76FF1" w:rsidRDefault="00C12039" w:rsidP="00B40A00">
            <w:pPr>
              <w:tabs>
                <w:tab w:val="right" w:pos="4854"/>
              </w:tabs>
              <w:spacing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TOTAL</w:t>
            </w: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ab/>
              <w:t>150 hours</w:t>
            </w:r>
          </w:p>
        </w:tc>
      </w:tr>
      <w:tr w:rsidR="00C12039" w:rsidRPr="00F76FF1" w14:paraId="33DC5A20" w14:textId="77777777" w:rsidTr="00B40A00">
        <w:tc>
          <w:tcPr>
            <w:tcW w:w="1757" w:type="dxa"/>
            <w:vMerge/>
          </w:tcPr>
          <w:p w14:paraId="1C4ACE4E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7CD9353D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Students requiring additional English language support are expected to undertake an additional 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one</w:t>
            </w: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 xml:space="preserve"> hour per week.</w:t>
            </w:r>
          </w:p>
        </w:tc>
      </w:tr>
      <w:tr w:rsidR="00C12039" w:rsidRPr="00F76FF1" w14:paraId="5739997A" w14:textId="77777777" w:rsidTr="00B40A00">
        <w:tc>
          <w:tcPr>
            <w:tcW w:w="1757" w:type="dxa"/>
          </w:tcPr>
          <w:p w14:paraId="277A45EF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Prerequisites/    co-requisites/ restrictions</w:t>
            </w:r>
          </w:p>
        </w:tc>
        <w:tc>
          <w:tcPr>
            <w:tcW w:w="7882" w:type="dxa"/>
          </w:tcPr>
          <w:p w14:paraId="18D9A02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Prerequisite</w:t>
            </w:r>
          </w:p>
          <w:p w14:paraId="6FE249E4" w14:textId="77777777" w:rsidR="00C12039" w:rsidRPr="00F76FF1" w:rsidRDefault="00C12039" w:rsidP="00B40A00">
            <w:pPr>
              <w:tabs>
                <w:tab w:val="left" w:pos="649"/>
              </w:tabs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SO112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ab/>
              <w:t xml:space="preserve">Introduction to Human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Behaviour</w:t>
            </w:r>
            <w:proofErr w:type="spellEnd"/>
          </w:p>
        </w:tc>
      </w:tr>
      <w:tr w:rsidR="00C12039" w:rsidRPr="00F76FF1" w14:paraId="1F2A696F" w14:textId="77777777" w:rsidTr="00B40A00">
        <w:tc>
          <w:tcPr>
            <w:tcW w:w="1757" w:type="dxa"/>
          </w:tcPr>
          <w:p w14:paraId="57C1BBA7" w14:textId="77777777" w:rsidR="00C12039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Rationale</w:t>
            </w:r>
          </w:p>
          <w:p w14:paraId="3E48E9CF" w14:textId="77777777" w:rsidR="00C12039" w:rsidRPr="00FD16ED" w:rsidRDefault="00C12039" w:rsidP="00B40A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3E7282" w14:textId="77777777" w:rsidR="00C12039" w:rsidRPr="00FD16ED" w:rsidRDefault="00C12039" w:rsidP="00B40A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BBA392" w14:textId="77777777" w:rsidR="00C12039" w:rsidRPr="00FD16ED" w:rsidRDefault="00C12039" w:rsidP="00B40A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57ED050" w14:textId="77777777" w:rsidR="00C12039" w:rsidRPr="00FD16ED" w:rsidRDefault="00C12039" w:rsidP="00B40A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D0A5059" w14:textId="77777777" w:rsidR="00C12039" w:rsidRDefault="00C12039" w:rsidP="00B40A00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4FB94484" w14:textId="77777777" w:rsidR="00C12039" w:rsidRPr="00FD16ED" w:rsidRDefault="00C12039" w:rsidP="00B40A0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1866229" w14:textId="77777777" w:rsidR="00C12039" w:rsidRDefault="00C12039" w:rsidP="00B40A00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6B706914" w14:textId="77777777" w:rsidR="00C12039" w:rsidRDefault="00C12039" w:rsidP="00B40A00">
            <w:pPr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  <w:p w14:paraId="527C0838" w14:textId="77777777" w:rsidR="00C12039" w:rsidRPr="00FD16ED" w:rsidRDefault="00C12039" w:rsidP="00B40A00">
            <w:pPr>
              <w:tabs>
                <w:tab w:val="left" w:pos="148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ab/>
            </w:r>
          </w:p>
        </w:tc>
        <w:tc>
          <w:tcPr>
            <w:tcW w:w="7882" w:type="dxa"/>
          </w:tcPr>
          <w:p w14:paraId="7B54322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Statistics show that, in Australia, one in five people will experience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some kind of mental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health issue every year (SANE, 2014). For some this may be an isolated episode from which they will recover; however, many others find that their mental health challenges create on-going difficulties for them and their families in their day-to-day living. This has motivated governments and industry groups to highlight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the importance of funding mental health support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services, and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educate the community in an attempt to reduce the stigma associated with mental health challenges. </w:t>
            </w:r>
          </w:p>
          <w:p w14:paraId="6815960D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With such a large number of people experiencing mental health issues, and with increased awareness, it is to be expected that many of the clients that counsellors see will have a mental health issue, even if it is not the presenting issue. It is vital, therefore, that counselling students have knowledge of mental health challenges, be equipped with the skills to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recognise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mental health issues, and know how to respond appropriately to those issues within the limits of counsellor training and when referral to another mental health professional is warranted.</w:t>
            </w:r>
          </w:p>
        </w:tc>
      </w:tr>
      <w:tr w:rsidR="00C12039" w:rsidRPr="00F76FF1" w14:paraId="7FC243F3" w14:textId="77777777" w:rsidTr="00B40A00">
        <w:trPr>
          <w:cantSplit/>
        </w:trPr>
        <w:tc>
          <w:tcPr>
            <w:tcW w:w="1757" w:type="dxa"/>
          </w:tcPr>
          <w:p w14:paraId="391B92B4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</w:p>
        </w:tc>
        <w:tc>
          <w:tcPr>
            <w:tcW w:w="7882" w:type="dxa"/>
          </w:tcPr>
          <w:p w14:paraId="71D7D2E3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This unit explores the concept of mental health and what affects mental health from a variety of different perspectives, including neurobiology, psychology, traditional medical models and evidence-based practices, multicultural understandings, postmodernism, and a Christian worldview perspective.  Students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have the opportunity to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examine the Australian mental health care system, and major mental health issues that might present in their counselling practice.</w:t>
            </w:r>
          </w:p>
        </w:tc>
      </w:tr>
      <w:tr w:rsidR="00C12039" w:rsidRPr="00F76FF1" w14:paraId="25C16FD1" w14:textId="77777777" w:rsidTr="00B40A00">
        <w:tc>
          <w:tcPr>
            <w:tcW w:w="1757" w:type="dxa"/>
          </w:tcPr>
          <w:p w14:paraId="5AB5BA49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Prescribed text(s)</w:t>
            </w:r>
          </w:p>
        </w:tc>
        <w:tc>
          <w:tcPr>
            <w:tcW w:w="7882" w:type="dxa"/>
          </w:tcPr>
          <w:p w14:paraId="08B869D9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Hungerford, C., Hodgson, D., Clancy, R.,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Monisse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-Redman, M., &amp; Bostwick, R. (2012).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Mental health care: An introduction for health professionals in Australia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(2nd ed.)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.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Brisbane, Australia: Wiley.</w:t>
            </w:r>
          </w:p>
        </w:tc>
      </w:tr>
      <w:tr w:rsidR="00C12039" w:rsidRPr="00F76FF1" w14:paraId="5C81A344" w14:textId="77777777" w:rsidTr="00B40A00">
        <w:trPr>
          <w:trHeight w:val="841"/>
        </w:trPr>
        <w:tc>
          <w:tcPr>
            <w:tcW w:w="1757" w:type="dxa"/>
          </w:tcPr>
          <w:p w14:paraId="08EB716E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Recommended readings</w:t>
            </w:r>
          </w:p>
        </w:tc>
        <w:tc>
          <w:tcPr>
            <w:tcW w:w="7882" w:type="dxa"/>
          </w:tcPr>
          <w:p w14:paraId="4B6B4DE5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bCs/>
                <w:sz w:val="20"/>
                <w:szCs w:val="20"/>
              </w:rPr>
              <w:t>Books</w:t>
            </w:r>
          </w:p>
          <w:p w14:paraId="6E982839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American Psychiatric Association. (2013).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Diagnostic and statistical manual of mental disorders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(5th ed.).  Washington, DC:  American Psychiatric Press.</w:t>
            </w:r>
          </w:p>
          <w:p w14:paraId="5E4C1156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Benjamin, R. (2019). </w:t>
            </w:r>
            <w:proofErr w:type="spellStart"/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Humanising</w:t>
            </w:r>
            <w:proofErr w:type="spellEnd"/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 mental health care in Australia: A guide to trauma-informed </w:t>
            </w:r>
            <w:proofErr w:type="spellStart"/>
            <w:proofErr w:type="gramStart"/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approaches.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Melbourne</w:t>
            </w:r>
            <w:proofErr w:type="spellEnd"/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Routledge.</w:t>
            </w:r>
          </w:p>
          <w:p w14:paraId="2741E92F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May, G. (1993).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Simply sane: The spirituality of mental health.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New York, NY: Crossroads.</w:t>
            </w:r>
            <w:r w:rsidRPr="00F76FF1">
              <w:rPr>
                <w:rFonts w:ascii="Open Sans" w:hAnsi="Open Sans" w:cs="Open Sans"/>
                <w:sz w:val="20"/>
                <w:szCs w:val="20"/>
                <w:vertAlign w:val="superscript"/>
              </w:rPr>
              <w:footnoteReference w:id="1"/>
            </w:r>
          </w:p>
          <w:p w14:paraId="269B7ADB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Meadows, G.,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Farhall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, J.,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Fossey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, E., Grigg, M., McDermott, F., &amp; Singh, B. (2012).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Mental health in Australia: Collaborative community practice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(3rd ed.). Melbourne, VIC, Australia: Oxford University Press. </w:t>
            </w:r>
          </w:p>
          <w:p w14:paraId="35C4E1AD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Pilgrim, D., &amp; McCranie, A. (2013).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Recovery and mental health.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London, UK: Palgrave Macmillan.</w:t>
            </w:r>
          </w:p>
          <w:p w14:paraId="5D127393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Shannon, S. (2013).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Mental health for the whole child: Moving young clients from disease and disorder to balance and wellness.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New York, NY: Norton. </w:t>
            </w:r>
          </w:p>
          <w:p w14:paraId="27E8C46B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Swinton, J.  (2000).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From bedlam to shalom:  Towards a practical theology of human nature, interpersonal relationships, and mental health care.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 New York, NY:  Peter Lang International Academic.</w:t>
            </w:r>
            <w:r w:rsidRPr="00F76FF1">
              <w:rPr>
                <w:rFonts w:ascii="Open Sans" w:hAnsi="Open Sans" w:cs="Open Sans"/>
                <w:sz w:val="20"/>
                <w:szCs w:val="20"/>
                <w:vertAlign w:val="superscript"/>
              </w:rPr>
              <w:t xml:space="preserve"> 1</w:t>
            </w:r>
          </w:p>
          <w:p w14:paraId="27C3F392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Tantum, D. (2014).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 xml:space="preserve">Emotional well-being and mental health: A guide for counsellors and psychotherapists. 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London, UK: Sage.</w:t>
            </w:r>
          </w:p>
          <w:p w14:paraId="2363F272" w14:textId="77777777" w:rsidR="00C12039" w:rsidRPr="00F76FF1" w:rsidRDefault="00C12039" w:rsidP="00B40A00">
            <w:pPr>
              <w:spacing w:before="120" w:after="120"/>
              <w:ind w:left="284" w:right="-57" w:hanging="284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Thornicroft, G.,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Szmukler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, G., </w:t>
            </w: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Mueser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, K.T., &amp; Drake, R.E. (Eds.). (2011). </w:t>
            </w:r>
            <w:r w:rsidRPr="00F76FF1">
              <w:rPr>
                <w:rFonts w:ascii="Open Sans" w:hAnsi="Open Sans" w:cs="Open Sans"/>
                <w:i/>
                <w:sz w:val="20"/>
                <w:szCs w:val="20"/>
              </w:rPr>
              <w:t>Oxford textbook of community mental health</w:t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. New York, NY: Oxford University Press.</w:t>
            </w:r>
          </w:p>
          <w:p w14:paraId="4C58C10D" w14:textId="77777777" w:rsidR="00C12039" w:rsidRPr="00F76FF1" w:rsidRDefault="00C12039" w:rsidP="00B40A00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Journals</w:t>
            </w:r>
          </w:p>
          <w:p w14:paraId="03F2EE10" w14:textId="77777777" w:rsidR="00C12039" w:rsidRPr="00F76FF1" w:rsidRDefault="00C12039" w:rsidP="00B40A00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lastRenderedPageBreak/>
              <w:t>Journal of Mental Health Counseling</w:t>
            </w:r>
          </w:p>
          <w:p w14:paraId="19A3833A" w14:textId="77777777" w:rsidR="00C12039" w:rsidRPr="00F76FF1" w:rsidRDefault="00C12039" w:rsidP="00B40A00">
            <w:pPr>
              <w:keepNext/>
              <w:keepLines/>
              <w:spacing w:before="120" w:after="120"/>
              <w:ind w:right="-57"/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Journal of Psychology and Theology</w:t>
            </w:r>
            <w:r w:rsidRPr="00F76FF1" w:rsidDel="00361314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0EE1061" w14:textId="77777777" w:rsidR="00C12039" w:rsidRPr="00F76FF1" w:rsidRDefault="00C12039" w:rsidP="00B40A00">
            <w:pPr>
              <w:keepNext/>
              <w:keepLines/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sz w:val="20"/>
                <w:szCs w:val="20"/>
              </w:rPr>
              <w:t>Websites</w:t>
            </w:r>
          </w:p>
          <w:p w14:paraId="37F71794" w14:textId="77777777" w:rsidR="00C12039" w:rsidRPr="00F76FF1" w:rsidRDefault="00C12039" w:rsidP="00B40A00">
            <w:pPr>
              <w:keepNext/>
              <w:keepLines/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https://mhsa.aihw.gov.au/home/ </w:t>
            </w:r>
          </w:p>
          <w:p w14:paraId="1D506767" w14:textId="77777777" w:rsidR="00C12039" w:rsidRPr="00F76FF1" w:rsidRDefault="00C12039" w:rsidP="00B40A00">
            <w:pPr>
              <w:keepNext/>
              <w:keepLines/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http://www.aihw.gov.au/mental-health-services-publications/ </w:t>
            </w:r>
          </w:p>
          <w:p w14:paraId="309B9DB4" w14:textId="77777777" w:rsidR="00C12039" w:rsidRPr="00F76FF1" w:rsidRDefault="00C12039" w:rsidP="00B40A00">
            <w:pPr>
              <w:keepNext/>
              <w:keepLines/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http://www.mindframe-media.info/home </w:t>
            </w:r>
          </w:p>
          <w:p w14:paraId="5CFDE093" w14:textId="77777777" w:rsidR="00C12039" w:rsidRPr="00F76FF1" w:rsidRDefault="00C12039" w:rsidP="00B40A00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www.cmha.org.au</w:t>
            </w:r>
          </w:p>
          <w:p w14:paraId="129D4D9C" w14:textId="77777777" w:rsidR="00C12039" w:rsidRPr="00F76FF1" w:rsidRDefault="00C12039" w:rsidP="00B40A00">
            <w:pPr>
              <w:autoSpaceDE w:val="0"/>
              <w:autoSpaceDN w:val="0"/>
              <w:adjustRightInd w:val="0"/>
              <w:spacing w:before="120" w:after="120"/>
              <w:ind w:right="-57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Cs/>
                <w:iCs/>
                <w:sz w:val="20"/>
                <w:szCs w:val="20"/>
              </w:rPr>
              <w:t>https://www.sane.org/mental-health-and-illness/facts-and-guides/facts-figures</w:t>
            </w:r>
          </w:p>
          <w:p w14:paraId="37B703D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In addition to the resources above, students should have access to a Bible, preferably a modern translation such as The Holy Bible: The New International Version 2011 (NIV 2011) or The Holy Bible: New King James Version (NKJV).</w:t>
            </w:r>
          </w:p>
          <w:p w14:paraId="031BCC84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These and other translations may be accessed free on-line at http://www.biblegateway.com.  The Bible app from LifeChurch.tv is also available free for smart phones and tablet devices.</w:t>
            </w:r>
          </w:p>
        </w:tc>
      </w:tr>
      <w:tr w:rsidR="00C12039" w:rsidRPr="00F76FF1" w14:paraId="6739193B" w14:textId="77777777" w:rsidTr="00B40A00">
        <w:trPr>
          <w:cantSplit/>
        </w:trPr>
        <w:tc>
          <w:tcPr>
            <w:tcW w:w="1757" w:type="dxa"/>
          </w:tcPr>
          <w:p w14:paraId="74615433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Specialist resource requirements</w:t>
            </w:r>
          </w:p>
        </w:tc>
        <w:tc>
          <w:tcPr>
            <w:tcW w:w="7882" w:type="dxa"/>
          </w:tcPr>
          <w:p w14:paraId="54E819F8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Nil</w:t>
            </w:r>
          </w:p>
        </w:tc>
      </w:tr>
      <w:tr w:rsidR="00C12039" w:rsidRPr="00F76FF1" w14:paraId="406EC6F5" w14:textId="77777777" w:rsidTr="00B40A00">
        <w:tc>
          <w:tcPr>
            <w:tcW w:w="1757" w:type="dxa"/>
          </w:tcPr>
          <w:p w14:paraId="1489D9F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Content</w:t>
            </w:r>
          </w:p>
        </w:tc>
        <w:tc>
          <w:tcPr>
            <w:tcW w:w="7882" w:type="dxa"/>
          </w:tcPr>
          <w:p w14:paraId="077C3B18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Introduction to mental health</w:t>
            </w:r>
          </w:p>
          <w:p w14:paraId="43F3B114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Neurobiological, psychological and sociological understandings of mental health and mental health challenges</w:t>
            </w:r>
          </w:p>
          <w:p w14:paraId="76DD304B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Different models of mental health and mental health challenges</w:t>
            </w:r>
          </w:p>
          <w:p w14:paraId="1E9299E5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DSM-V classifications of mental disorders and medical models</w:t>
            </w:r>
          </w:p>
          <w:p w14:paraId="7926A85A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Australia’s mental health care system (including ethical, legal, and policy issues)</w:t>
            </w:r>
          </w:p>
          <w:p w14:paraId="5B156D72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Assessment skills and decision-making processes</w:t>
            </w:r>
          </w:p>
          <w:p w14:paraId="601485DB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Crisis interventions</w:t>
            </w:r>
          </w:p>
          <w:p w14:paraId="0E5FFB6D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Evidence-based counselling approaches</w:t>
            </w:r>
          </w:p>
          <w:p w14:paraId="133D4869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Accessing resources and referral pathways</w:t>
            </w:r>
          </w:p>
          <w:p w14:paraId="310FA662" w14:textId="77777777" w:rsidR="00C12039" w:rsidRPr="00F76FF1" w:rsidRDefault="00C12039" w:rsidP="00C12039">
            <w:pPr>
              <w:numPr>
                <w:ilvl w:val="0"/>
                <w:numId w:val="1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noProof/>
                <w:sz w:val="20"/>
                <w:szCs w:val="20"/>
              </w:rPr>
              <w:t>A framework for working with mental health clients as a counsellor</w:t>
            </w:r>
          </w:p>
        </w:tc>
      </w:tr>
      <w:tr w:rsidR="00C12039" w:rsidRPr="00F76FF1" w14:paraId="665AE952" w14:textId="77777777" w:rsidTr="00B40A00">
        <w:tc>
          <w:tcPr>
            <w:tcW w:w="1757" w:type="dxa"/>
          </w:tcPr>
          <w:p w14:paraId="74D3782C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t>Learning outcomes</w:t>
            </w:r>
          </w:p>
        </w:tc>
        <w:tc>
          <w:tcPr>
            <w:tcW w:w="7882" w:type="dxa"/>
          </w:tcPr>
          <w:p w14:paraId="6FB621A6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sz w:val="20"/>
                <w:szCs w:val="20"/>
              </w:rPr>
              <w:t>On completion of this unit, students will have demonstrated that they have:</w:t>
            </w:r>
          </w:p>
          <w:p w14:paraId="3935CC46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investigated a variety of explanations of mental health and mental distress, including traditional approaches, different cultural understandings, postmodern theories, and Christian worldview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perspectives;</w:t>
            </w:r>
            <w:proofErr w:type="gramEnd"/>
          </w:p>
          <w:p w14:paraId="5FEA73B7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F76FF1">
              <w:rPr>
                <w:rFonts w:ascii="Open Sans" w:hAnsi="Open Sans" w:cs="Open Sans"/>
                <w:sz w:val="20"/>
                <w:szCs w:val="20"/>
              </w:rPr>
              <w:t>recognised</w:t>
            </w:r>
            <w:proofErr w:type="spell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the signs and symptoms of several major mental health challenges that counsellors may come across in their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work;</w:t>
            </w:r>
            <w:proofErr w:type="gramEnd"/>
          </w:p>
          <w:p w14:paraId="40662EF6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understood Australia’s mental health care system, including ethical, legal and policy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issues;</w:t>
            </w:r>
            <w:proofErr w:type="gramEnd"/>
          </w:p>
          <w:p w14:paraId="2B247A65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developed strategies for assessing and working with mental health issues, including appropriate referral processes and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pathways;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3178452A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reflected upon their own attitudes to and engagement with mental health; and</w:t>
            </w:r>
          </w:p>
          <w:p w14:paraId="6E02393E" w14:textId="77777777" w:rsidR="00C12039" w:rsidRPr="00F76FF1" w:rsidRDefault="00C12039" w:rsidP="00C12039">
            <w:pPr>
              <w:numPr>
                <w:ilvl w:val="0"/>
                <w:numId w:val="2"/>
              </w:numPr>
              <w:spacing w:before="120" w:after="120"/>
              <w:ind w:left="425" w:right="-57" w:hanging="425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>communicated at an appropriate tertiary standard with special attention to correct grammars, punctuation, spelling, vocabulary, usage, sentence structure, logical relations, style, referencing, and presentation.</w:t>
            </w:r>
          </w:p>
        </w:tc>
      </w:tr>
      <w:tr w:rsidR="00C12039" w:rsidRPr="00F76FF1" w14:paraId="34F0ECAD" w14:textId="77777777" w:rsidTr="00B40A00">
        <w:trPr>
          <w:trHeight w:val="46"/>
        </w:trPr>
        <w:tc>
          <w:tcPr>
            <w:tcW w:w="1757" w:type="dxa"/>
          </w:tcPr>
          <w:p w14:paraId="48B5DAE9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sz w:val="20"/>
                <w:szCs w:val="20"/>
              </w:rPr>
              <w:lastRenderedPageBreak/>
              <w:t>Assessment tasks</w:t>
            </w:r>
          </w:p>
        </w:tc>
        <w:tc>
          <w:tcPr>
            <w:tcW w:w="7882" w:type="dxa"/>
          </w:tcPr>
          <w:p w14:paraId="039BFA9C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>Task 1: Journal entries</w:t>
            </w:r>
          </w:p>
          <w:p w14:paraId="11E9DD9C" w14:textId="77777777" w:rsidR="00C12039" w:rsidRPr="00F76FF1" w:rsidRDefault="00C12039" w:rsidP="00B40A00">
            <w:pPr>
              <w:spacing w:before="120" w:after="120"/>
              <w:ind w:right="-57"/>
              <w:outlineLvl w:val="0"/>
              <w:rPr>
                <w:rFonts w:ascii="Open Sans" w:eastAsia="Times" w:hAnsi="Open Sans" w:cs="Open Sans"/>
                <w:sz w:val="20"/>
                <w:szCs w:val="20"/>
                <w:lang w:eastAsia="en-AU"/>
              </w:rPr>
            </w:pPr>
            <w:r w:rsidRPr="00F76FF1">
              <w:rPr>
                <w:rFonts w:ascii="Open Sans" w:eastAsia="Times" w:hAnsi="Open Sans" w:cs="Open Sans"/>
                <w:sz w:val="20"/>
                <w:szCs w:val="20"/>
                <w:lang w:eastAsia="en-AU"/>
              </w:rPr>
              <w:t>Post five (5) journal entries in response to the topics posted on Moodle™.</w:t>
            </w:r>
          </w:p>
          <w:p w14:paraId="53E76038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Word Length/Duration: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1,250 words (5 x 250  words)</w:t>
            </w:r>
          </w:p>
          <w:p w14:paraId="6E63272C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Weighting: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30%</w:t>
            </w:r>
          </w:p>
          <w:p w14:paraId="6CE2B339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Learning Outcomes: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1-3, 5, 6</w:t>
            </w:r>
          </w:p>
          <w:p w14:paraId="500295CE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Assessed: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Weeks 2, 4, 6, 8,10</w:t>
            </w:r>
          </w:p>
          <w:p w14:paraId="0E39E2AB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>Task 2: Concept map</w:t>
            </w:r>
          </w:p>
          <w:p w14:paraId="5DB98400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Design a concept map with your understanding of mental health, mental health challenges, and different understandings of the factors that contribute to psychological and emotional distress. . Links need to be made between your developing understanding of these different perspectives and that of a Christian worldview perspective of mental health issues.</w:t>
            </w:r>
          </w:p>
          <w:p w14:paraId="3109D196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Word Length/Duration: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1,200 words (equivalent)</w:t>
            </w:r>
          </w:p>
          <w:p w14:paraId="60BA3C4F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Weighting: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30%</w:t>
            </w:r>
          </w:p>
          <w:p w14:paraId="63A89437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Learning Outcomes: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1-3, 6</w:t>
            </w:r>
          </w:p>
          <w:p w14:paraId="554AE2F0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Assessed: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Week 11</w:t>
            </w:r>
          </w:p>
        </w:tc>
      </w:tr>
      <w:tr w:rsidR="00C12039" w:rsidRPr="00F76FF1" w14:paraId="26473B61" w14:textId="77777777" w:rsidTr="00B40A00">
        <w:trPr>
          <w:trHeight w:val="1264"/>
        </w:trPr>
        <w:tc>
          <w:tcPr>
            <w:tcW w:w="1757" w:type="dxa"/>
          </w:tcPr>
          <w:p w14:paraId="19B47A5F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882" w:type="dxa"/>
          </w:tcPr>
          <w:p w14:paraId="3BC759F7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b/>
                <w:noProof/>
                <w:sz w:val="20"/>
                <w:szCs w:val="20"/>
              </w:rPr>
              <w:t>Task 3: Case study</w:t>
            </w:r>
          </w:p>
          <w:p w14:paraId="69D32F32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Assess the mental health challenges being faced by the client in the case study, justifying your hypothesis with reference to appropriate literature. Formulate a plan for proceeding with this client that includes relevant ethical,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legal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and Christian worldview considerations.</w:t>
            </w:r>
          </w:p>
          <w:p w14:paraId="65C68287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Word Length/Duration: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 xml:space="preserve">2,000 words </w:t>
            </w:r>
          </w:p>
          <w:p w14:paraId="0B8A6E6E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Weighting: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40%</w:t>
            </w:r>
          </w:p>
          <w:p w14:paraId="58BB2F53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Learning Outcomes: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  <w:t>1-6</w:t>
            </w:r>
          </w:p>
          <w:p w14:paraId="20137A4A" w14:textId="77777777" w:rsidR="00C12039" w:rsidRPr="00F76FF1" w:rsidRDefault="00C12039" w:rsidP="00B40A00">
            <w:pPr>
              <w:tabs>
                <w:tab w:val="left" w:pos="2268"/>
              </w:tabs>
              <w:spacing w:before="120" w:after="120"/>
              <w:ind w:right="-57"/>
              <w:rPr>
                <w:rFonts w:ascii="Open Sans" w:eastAsia="Calibri" w:hAnsi="Open Sans" w:cs="Open Sans"/>
                <w:noProof/>
                <w:sz w:val="20"/>
                <w:szCs w:val="20"/>
              </w:rPr>
            </w:pP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>Assessed:</w:t>
            </w:r>
            <w:r w:rsidRPr="00F76FF1">
              <w:rPr>
                <w:rFonts w:ascii="Open Sans" w:eastAsia="Calibri" w:hAnsi="Open Sans" w:cs="Open Sans"/>
                <w:noProof/>
                <w:sz w:val="20"/>
                <w:szCs w:val="20"/>
              </w:rPr>
              <w:tab/>
            </w:r>
            <w:r w:rsidRPr="00F76FF1">
              <w:rPr>
                <w:rFonts w:ascii="Open Sans" w:hAnsi="Open Sans" w:cs="Open Sans"/>
                <w:sz w:val="20"/>
                <w:szCs w:val="20"/>
              </w:rPr>
              <w:t>Week 15</w:t>
            </w:r>
          </w:p>
        </w:tc>
      </w:tr>
      <w:tr w:rsidR="00C12039" w:rsidRPr="00F76FF1" w14:paraId="28F65D58" w14:textId="77777777" w:rsidTr="00B40A00">
        <w:tc>
          <w:tcPr>
            <w:tcW w:w="1757" w:type="dxa"/>
          </w:tcPr>
          <w:p w14:paraId="15BDD18E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eastAsia="Calibri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b/>
                <w:bCs/>
                <w:sz w:val="20"/>
                <w:szCs w:val="20"/>
              </w:rPr>
              <w:t>Unit summary</w:t>
            </w:r>
          </w:p>
        </w:tc>
        <w:tc>
          <w:tcPr>
            <w:tcW w:w="7882" w:type="dxa"/>
          </w:tcPr>
          <w:p w14:paraId="2E1CFBD8" w14:textId="77777777" w:rsidR="00C12039" w:rsidRPr="00F76FF1" w:rsidRDefault="00C12039" w:rsidP="00B40A00">
            <w:pPr>
              <w:spacing w:before="120" w:after="120"/>
              <w:ind w:right="-57"/>
              <w:rPr>
                <w:rFonts w:ascii="Open Sans" w:hAnsi="Open Sans" w:cs="Open Sans"/>
                <w:sz w:val="20"/>
                <w:szCs w:val="20"/>
              </w:rPr>
            </w:pPr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This unit explores the concept of mental health from a variety of different perspectives, including neurobiology, psychology, traditional medical models, evidence-based practices, multicultural understandings, postmodernism, and a Christian worldview perspective.  Students </w:t>
            </w:r>
            <w:proofErr w:type="gramStart"/>
            <w:r w:rsidRPr="00F76FF1">
              <w:rPr>
                <w:rFonts w:ascii="Open Sans" w:hAnsi="Open Sans" w:cs="Open Sans"/>
                <w:sz w:val="20"/>
                <w:szCs w:val="20"/>
              </w:rPr>
              <w:t>have the opportunity to</w:t>
            </w:r>
            <w:proofErr w:type="gramEnd"/>
            <w:r w:rsidRPr="00F76FF1">
              <w:rPr>
                <w:rFonts w:ascii="Open Sans" w:hAnsi="Open Sans" w:cs="Open Sans"/>
                <w:sz w:val="20"/>
                <w:szCs w:val="20"/>
              </w:rPr>
              <w:t xml:space="preserve"> examine the Australian mental health care system, and major mental health challenges that might present in their counselling practice.</w:t>
            </w:r>
          </w:p>
        </w:tc>
      </w:tr>
    </w:tbl>
    <w:p w14:paraId="676B47C4" w14:textId="77777777" w:rsidR="00C12039" w:rsidRDefault="00C12039"/>
    <w:sectPr w:rsidR="00C1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8669" w14:textId="77777777" w:rsidR="00C12039" w:rsidRDefault="00C12039" w:rsidP="00C12039">
      <w:pPr>
        <w:spacing w:after="0" w:line="240" w:lineRule="auto"/>
      </w:pPr>
      <w:r>
        <w:separator/>
      </w:r>
    </w:p>
  </w:endnote>
  <w:endnote w:type="continuationSeparator" w:id="0">
    <w:p w14:paraId="2BC56E9F" w14:textId="77777777" w:rsidR="00C12039" w:rsidRDefault="00C12039" w:rsidP="00C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91FE" w14:textId="77777777" w:rsidR="00C12039" w:rsidRDefault="00C12039" w:rsidP="00C12039">
      <w:pPr>
        <w:spacing w:after="0" w:line="240" w:lineRule="auto"/>
      </w:pPr>
      <w:r>
        <w:separator/>
      </w:r>
    </w:p>
  </w:footnote>
  <w:footnote w:type="continuationSeparator" w:id="0">
    <w:p w14:paraId="6DCEDCE6" w14:textId="77777777" w:rsidR="00C12039" w:rsidRDefault="00C12039" w:rsidP="00C12039">
      <w:pPr>
        <w:spacing w:after="0" w:line="240" w:lineRule="auto"/>
      </w:pPr>
      <w:r>
        <w:continuationSeparator/>
      </w:r>
    </w:p>
  </w:footnote>
  <w:footnote w:id="1">
    <w:p w14:paraId="66E8DA95" w14:textId="77777777" w:rsidR="00C12039" w:rsidRPr="0045014A" w:rsidRDefault="00C12039" w:rsidP="00C1203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45A9"/>
    <w:multiLevelType w:val="hybridMultilevel"/>
    <w:tmpl w:val="4DF08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860"/>
    <w:multiLevelType w:val="hybridMultilevel"/>
    <w:tmpl w:val="C84A5A44"/>
    <w:lvl w:ilvl="0" w:tplc="4EFC73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39"/>
    <w:rsid w:val="002F6994"/>
    <w:rsid w:val="00C1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4903"/>
  <w15:chartTrackingRefBased/>
  <w15:docId w15:val="{7353AC56-8626-437F-AD78-A8E98DFE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0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2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D1D02E1EC5A49819F124A6E7B732D" ma:contentTypeVersion="7" ma:contentTypeDescription="Create a new document." ma:contentTypeScope="" ma:versionID="4a0c63fcd76996398c2a7986270c2c9f">
  <xsd:schema xmlns:xsd="http://www.w3.org/2001/XMLSchema" xmlns:xs="http://www.w3.org/2001/XMLSchema" xmlns:p="http://schemas.microsoft.com/office/2006/metadata/properties" xmlns:ns3="8f0de3a8-e007-4349-b0b1-b406ecdcaae4" xmlns:ns4="d021bf9d-5aea-4253-b9a4-4fc345f774f3" targetNamespace="http://schemas.microsoft.com/office/2006/metadata/properties" ma:root="true" ma:fieldsID="869759d20ec909ada7b9f5871c593175" ns3:_="" ns4:_="">
    <xsd:import namespace="8f0de3a8-e007-4349-b0b1-b406ecdcaae4"/>
    <xsd:import namespace="d021bf9d-5aea-4253-b9a4-4fc345f7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e3a8-e007-4349-b0b1-b406ecdc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bf9d-5aea-4253-b9a4-4fc345f77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A3EE9-62ED-41B9-B73C-F3A7CD94B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de3a8-e007-4349-b0b1-b406ecdcaae4"/>
    <ds:schemaRef ds:uri="d021bf9d-5aea-4253-b9a4-4fc345f7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8FC20-0745-4A91-AA88-9BFCDA31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D02F6-72C7-4167-A07D-41DFB4D14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Swann</dc:creator>
  <cp:keywords/>
  <dc:description/>
  <cp:lastModifiedBy>Emily Swann</cp:lastModifiedBy>
  <cp:revision>2</cp:revision>
  <dcterms:created xsi:type="dcterms:W3CDTF">2020-05-26T05:44:00Z</dcterms:created>
  <dcterms:modified xsi:type="dcterms:W3CDTF">2020-05-26T05:44:00Z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0x010100F37D1D02E1EC5A49819F124A6E7B732D</vt:lpwstr>
  </property>
</Properties>
</file>