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06B0" w14:textId="6D45C99F" w:rsidR="005A57E7" w:rsidRDefault="005A57E7" w:rsidP="005A57E7">
      <w:pPr>
        <w:tabs>
          <w:tab w:val="left" w:pos="1485"/>
        </w:tabs>
      </w:pPr>
    </w:p>
    <w:p w14:paraId="51985E1A" w14:textId="77777777" w:rsidR="005A57E7" w:rsidRPr="007C3638" w:rsidRDefault="005A57E7" w:rsidP="005A57E7">
      <w:r>
        <w:rPr>
          <w:noProof/>
        </w:rPr>
        <w:drawing>
          <wp:anchor distT="0" distB="0" distL="114300" distR="114300" simplePos="0" relativeHeight="251658240" behindDoc="1" locked="0" layoutInCell="1" allowOverlap="1" wp14:anchorId="72F16FB9" wp14:editId="3357FF5F">
            <wp:simplePos x="0" y="0"/>
            <wp:positionH relativeFrom="margin">
              <wp:posOffset>-114300</wp:posOffset>
            </wp:positionH>
            <wp:positionV relativeFrom="paragraph">
              <wp:posOffset>-172720</wp:posOffset>
            </wp:positionV>
            <wp:extent cx="5731510" cy="810704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5D5EF4B8" w14:textId="77777777" w:rsidR="005A57E7" w:rsidRPr="007C3638" w:rsidRDefault="005A57E7" w:rsidP="005A57E7"/>
    <w:p w14:paraId="1EDF188D" w14:textId="77777777" w:rsidR="005A57E7" w:rsidRPr="007C3638" w:rsidRDefault="005A57E7" w:rsidP="005A57E7"/>
    <w:p w14:paraId="6FBDADAA" w14:textId="77777777" w:rsidR="005A57E7" w:rsidRPr="007C3638" w:rsidRDefault="005A57E7" w:rsidP="005A57E7"/>
    <w:p w14:paraId="5ABC47CB" w14:textId="77777777" w:rsidR="005A57E7" w:rsidRPr="007C3638" w:rsidRDefault="005A57E7" w:rsidP="005A57E7"/>
    <w:p w14:paraId="041B2C76" w14:textId="77777777" w:rsidR="005A57E7" w:rsidRPr="007C3638" w:rsidRDefault="005A57E7" w:rsidP="005A57E7"/>
    <w:p w14:paraId="21856C0F" w14:textId="77777777" w:rsidR="005A57E7" w:rsidRPr="007C3638" w:rsidRDefault="005A57E7" w:rsidP="005A57E7"/>
    <w:p w14:paraId="168F2FFA" w14:textId="77777777" w:rsidR="005A57E7" w:rsidRPr="007C3638" w:rsidRDefault="005A57E7" w:rsidP="005A57E7"/>
    <w:p w14:paraId="0E3049F6" w14:textId="77777777" w:rsidR="005A57E7" w:rsidRPr="007C3638" w:rsidRDefault="005A57E7" w:rsidP="005A57E7"/>
    <w:p w14:paraId="6D92286C" w14:textId="77777777" w:rsidR="005A57E7" w:rsidRPr="007C3638" w:rsidRDefault="005A57E7" w:rsidP="005A57E7">
      <w:pPr>
        <w:spacing w:before="175" w:line="636" w:lineRule="exact"/>
        <w:jc w:val="center"/>
        <w:textAlignment w:val="baseline"/>
        <w:rPr>
          <w:rFonts w:ascii="Arial" w:eastAsia="Arial" w:hAnsi="Arial"/>
          <w:b/>
          <w:color w:val="000000"/>
          <w:spacing w:val="-1"/>
          <w:sz w:val="56"/>
        </w:rPr>
      </w:pPr>
    </w:p>
    <w:p w14:paraId="1B25B112" w14:textId="77777777" w:rsidR="005A57E7"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p>
    <w:p w14:paraId="1006C081" w14:textId="77777777" w:rsidR="005A57E7"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p>
    <w:p w14:paraId="6E13DAD8" w14:textId="77777777" w:rsidR="005A57E7"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p>
    <w:p w14:paraId="0ABF8356" w14:textId="77777777" w:rsidR="005A57E7"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p>
    <w:p w14:paraId="701E3F40" w14:textId="77777777" w:rsidR="005A57E7"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p>
    <w:p w14:paraId="536D5F41" w14:textId="77777777" w:rsidR="005A57E7" w:rsidRPr="007C3638" w:rsidRDefault="005A57E7" w:rsidP="005A57E7">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HP220</w:t>
      </w:r>
    </w:p>
    <w:p w14:paraId="25EC14C2" w14:textId="77777777" w:rsidR="005A57E7" w:rsidRDefault="005A57E7" w:rsidP="005A57E7">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Games and Coaching</w:t>
      </w:r>
    </w:p>
    <w:p w14:paraId="6CE52FA4" w14:textId="77777777" w:rsidR="005A57E7" w:rsidRPr="00302CB8" w:rsidRDefault="005A57E7" w:rsidP="005A57E7">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1</w:t>
      </w:r>
    </w:p>
    <w:p w14:paraId="2F618643" w14:textId="77777777" w:rsidR="005A57E7" w:rsidRDefault="005A57E7" w:rsidP="005A57E7">
      <w:pPr>
        <w:tabs>
          <w:tab w:val="left" w:pos="3969"/>
        </w:tabs>
        <w:spacing w:before="175" w:line="636" w:lineRule="exact"/>
        <w:ind w:left="1440" w:firstLine="720"/>
        <w:textAlignment w:val="baseline"/>
        <w:rPr>
          <w:rFonts w:eastAsia="Arial" w:cstheme="minorHAnsi"/>
          <w:b/>
          <w:noProof/>
          <w:color w:val="000000"/>
          <w:spacing w:val="-1"/>
          <w:sz w:val="32"/>
          <w:szCs w:val="32"/>
        </w:rPr>
      </w:pPr>
      <w:r>
        <w:rPr>
          <w:rFonts w:eastAsia="Arial" w:cstheme="minorHAnsi"/>
          <w:color w:val="000000"/>
          <w:spacing w:val="-1"/>
          <w:sz w:val="32"/>
          <w:szCs w:val="32"/>
        </w:rPr>
        <w:tab/>
      </w:r>
    </w:p>
    <w:p w14:paraId="4B689088" w14:textId="77777777" w:rsidR="005A57E7" w:rsidRDefault="005A57E7" w:rsidP="005A57E7">
      <w:pPr>
        <w:rPr>
          <w:rFonts w:eastAsia="Arial" w:cstheme="minorHAnsi"/>
          <w:b/>
          <w:noProof/>
          <w:color w:val="000000"/>
          <w:spacing w:val="-1"/>
          <w:sz w:val="32"/>
          <w:szCs w:val="32"/>
        </w:rPr>
      </w:pPr>
      <w:r>
        <w:rPr>
          <w:rFonts w:eastAsia="Arial" w:cstheme="minorHAnsi"/>
          <w:b/>
          <w:noProof/>
          <w:color w:val="000000"/>
          <w:spacing w:val="-1"/>
          <w:sz w:val="32"/>
          <w:szCs w:val="32"/>
        </w:rPr>
        <w:br w:type="page"/>
      </w: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5A57E7" w:rsidRPr="007C3638" w14:paraId="5CC72209" w14:textId="77777777" w:rsidTr="003D0E46">
        <w:tc>
          <w:tcPr>
            <w:tcW w:w="1744" w:type="dxa"/>
            <w:shd w:val="clear" w:color="auto" w:fill="auto"/>
          </w:tcPr>
          <w:p w14:paraId="057D833B"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3B202F66" w14:textId="77777777" w:rsidR="005A57E7" w:rsidRPr="00AB3A1B" w:rsidRDefault="005A57E7" w:rsidP="003D0E46">
            <w:pPr>
              <w:spacing w:before="120" w:after="120"/>
              <w:ind w:right="-57"/>
              <w:rPr>
                <w:rFonts w:ascii="Calibri" w:hAnsi="Calibri"/>
                <w:b/>
                <w:sz w:val="20"/>
                <w:szCs w:val="20"/>
              </w:rPr>
            </w:pPr>
            <w:r w:rsidRPr="0093777A">
              <w:rPr>
                <w:rFonts w:ascii="Calibri" w:hAnsi="Calibri"/>
                <w:b/>
                <w:noProof/>
                <w:sz w:val="20"/>
                <w:szCs w:val="20"/>
              </w:rPr>
              <w:t>HP220</w:t>
            </w:r>
          </w:p>
        </w:tc>
      </w:tr>
      <w:tr w:rsidR="005A57E7" w:rsidRPr="007C3638" w14:paraId="05EC2B58" w14:textId="77777777" w:rsidTr="003D0E46">
        <w:tc>
          <w:tcPr>
            <w:tcW w:w="1744" w:type="dxa"/>
            <w:shd w:val="clear" w:color="auto" w:fill="auto"/>
          </w:tcPr>
          <w:p w14:paraId="5E71A622"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48FF51A6" w14:textId="77777777" w:rsidR="005A57E7" w:rsidRPr="00AB3A1B" w:rsidRDefault="005A57E7" w:rsidP="003D0E46">
            <w:pPr>
              <w:spacing w:before="120" w:after="120"/>
              <w:ind w:right="-57"/>
              <w:rPr>
                <w:rFonts w:ascii="Calibri" w:hAnsi="Calibri"/>
                <w:b/>
                <w:sz w:val="20"/>
                <w:szCs w:val="20"/>
              </w:rPr>
            </w:pPr>
            <w:r w:rsidRPr="0093777A">
              <w:rPr>
                <w:rFonts w:ascii="Calibri" w:hAnsi="Calibri"/>
                <w:b/>
                <w:noProof/>
                <w:sz w:val="20"/>
                <w:szCs w:val="20"/>
              </w:rPr>
              <w:t>Games and Coaching</w:t>
            </w:r>
          </w:p>
        </w:tc>
      </w:tr>
      <w:tr w:rsidR="005A57E7" w:rsidRPr="007C3638" w14:paraId="1C400106" w14:textId="77777777" w:rsidTr="003D0E46">
        <w:tc>
          <w:tcPr>
            <w:tcW w:w="1744" w:type="dxa"/>
            <w:shd w:val="clear" w:color="auto" w:fill="auto"/>
          </w:tcPr>
          <w:p w14:paraId="504780DF"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6227C3CD" w14:textId="77777777" w:rsidR="005A57E7" w:rsidRDefault="005A57E7" w:rsidP="003D0E46">
            <w:pPr>
              <w:spacing w:before="120" w:after="120"/>
              <w:ind w:right="-57"/>
              <w:rPr>
                <w:sz w:val="20"/>
                <w:szCs w:val="20"/>
              </w:rPr>
            </w:pPr>
            <w:r w:rsidRPr="0093777A">
              <w:rPr>
                <w:noProof/>
                <w:sz w:val="20"/>
                <w:szCs w:val="20"/>
              </w:rPr>
              <w:t>Bachelor of Education (Primary)</w:t>
            </w:r>
          </w:p>
          <w:p w14:paraId="2A8F72AE" w14:textId="77777777" w:rsidR="005A57E7" w:rsidRDefault="005A57E7" w:rsidP="003D0E46">
            <w:pPr>
              <w:spacing w:after="120"/>
              <w:ind w:right="-57"/>
              <w:rPr>
                <w:sz w:val="20"/>
                <w:szCs w:val="20"/>
              </w:rPr>
            </w:pPr>
            <w:r w:rsidRPr="0093777A">
              <w:rPr>
                <w:noProof/>
                <w:sz w:val="20"/>
                <w:szCs w:val="20"/>
              </w:rPr>
              <w:t>Bachelor of Education (Secondary)</w:t>
            </w:r>
          </w:p>
          <w:p w14:paraId="5C2F4391" w14:textId="77777777" w:rsidR="005A57E7" w:rsidRPr="007C3638" w:rsidRDefault="005A57E7" w:rsidP="003D0E46">
            <w:pPr>
              <w:spacing w:after="120"/>
              <w:ind w:right="-57"/>
              <w:rPr>
                <w:sz w:val="20"/>
                <w:szCs w:val="20"/>
              </w:rPr>
            </w:pPr>
            <w:r w:rsidRPr="0093777A">
              <w:rPr>
                <w:noProof/>
                <w:sz w:val="20"/>
                <w:szCs w:val="20"/>
              </w:rPr>
              <w:t>Bachelor of Arts/Bachelor of Education (Secondary)</w:t>
            </w:r>
          </w:p>
        </w:tc>
      </w:tr>
      <w:tr w:rsidR="005A57E7" w:rsidRPr="007C3638" w14:paraId="53C5DF5F" w14:textId="77777777" w:rsidTr="003D0E46">
        <w:tc>
          <w:tcPr>
            <w:tcW w:w="1744" w:type="dxa"/>
            <w:shd w:val="clear" w:color="auto" w:fill="auto"/>
          </w:tcPr>
          <w:p w14:paraId="5E73F382"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2151A223" w14:textId="77777777" w:rsidR="005A57E7" w:rsidRPr="007C3638" w:rsidRDefault="005A57E7" w:rsidP="003D0E46">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5A57E7" w:rsidRPr="007C3638" w14:paraId="6543B477" w14:textId="77777777" w:rsidTr="003D0E46">
        <w:tc>
          <w:tcPr>
            <w:tcW w:w="1744" w:type="dxa"/>
            <w:shd w:val="clear" w:color="auto" w:fill="auto"/>
          </w:tcPr>
          <w:p w14:paraId="6917245D"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37DAF05B" w14:textId="77777777" w:rsidR="005A57E7" w:rsidRPr="007C3638" w:rsidRDefault="005A57E7" w:rsidP="003D0E46">
            <w:pPr>
              <w:spacing w:before="120" w:after="120"/>
              <w:ind w:right="-57"/>
              <w:rPr>
                <w:rFonts w:ascii="Calibri" w:hAnsi="Calibri"/>
                <w:sz w:val="20"/>
                <w:szCs w:val="20"/>
              </w:rPr>
            </w:pPr>
            <w:r w:rsidRPr="0093777A">
              <w:rPr>
                <w:rFonts w:ascii="Calibri" w:eastAsia="Calibri" w:hAnsi="Calibri"/>
                <w:noProof/>
                <w:sz w:val="20"/>
                <w:szCs w:val="20"/>
              </w:rPr>
              <w:t>Intermediate</w:t>
            </w:r>
          </w:p>
        </w:tc>
      </w:tr>
      <w:tr w:rsidR="005A57E7" w:rsidRPr="007C3638" w14:paraId="4640F0B9" w14:textId="77777777" w:rsidTr="003D0E46">
        <w:tc>
          <w:tcPr>
            <w:tcW w:w="1744" w:type="dxa"/>
            <w:shd w:val="clear" w:color="auto" w:fill="auto"/>
          </w:tcPr>
          <w:p w14:paraId="716F1829"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4DFEE26B" w14:textId="77777777" w:rsidR="005A57E7" w:rsidRPr="007C3638" w:rsidRDefault="005A57E7" w:rsidP="003D0E46">
            <w:pPr>
              <w:spacing w:before="120" w:after="120"/>
              <w:ind w:right="-57"/>
              <w:rPr>
                <w:rFonts w:ascii="Calibri" w:hAnsi="Calibri"/>
                <w:sz w:val="20"/>
                <w:szCs w:val="20"/>
              </w:rPr>
            </w:pPr>
            <w:r w:rsidRPr="0093777A">
              <w:rPr>
                <w:noProof/>
                <w:sz w:val="20"/>
                <w:szCs w:val="20"/>
              </w:rPr>
              <w:t>Debra Ayling</w:t>
            </w:r>
          </w:p>
        </w:tc>
      </w:tr>
      <w:tr w:rsidR="005A57E7" w:rsidRPr="007C3638" w14:paraId="3D303AB6" w14:textId="77777777" w:rsidTr="003D0E46">
        <w:tc>
          <w:tcPr>
            <w:tcW w:w="1744" w:type="dxa"/>
            <w:shd w:val="clear" w:color="auto" w:fill="auto"/>
          </w:tcPr>
          <w:p w14:paraId="445FB87B"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27352745" w14:textId="77777777" w:rsidR="005A57E7" w:rsidRPr="007C3638" w:rsidRDefault="005A57E7" w:rsidP="003D0E46">
            <w:pPr>
              <w:spacing w:before="120" w:after="120"/>
              <w:ind w:right="-57"/>
              <w:rPr>
                <w:rFonts w:ascii="Calibri" w:hAnsi="Calibri"/>
                <w:sz w:val="20"/>
                <w:szCs w:val="20"/>
              </w:rPr>
            </w:pPr>
            <w:r w:rsidRPr="0093777A">
              <w:rPr>
                <w:rFonts w:ascii="Calibri" w:hAnsi="Calibri"/>
                <w:noProof/>
                <w:sz w:val="20"/>
                <w:szCs w:val="20"/>
              </w:rPr>
              <w:t>Elective</w:t>
            </w:r>
          </w:p>
        </w:tc>
      </w:tr>
      <w:tr w:rsidR="005A57E7" w:rsidRPr="007C3638" w14:paraId="19709DE3" w14:textId="77777777" w:rsidTr="003D0E46">
        <w:tc>
          <w:tcPr>
            <w:tcW w:w="1744" w:type="dxa"/>
            <w:shd w:val="clear" w:color="auto" w:fill="auto"/>
          </w:tcPr>
          <w:p w14:paraId="7E493E3E" w14:textId="77777777" w:rsidR="005A57E7" w:rsidRPr="008E6725" w:rsidRDefault="005A57E7" w:rsidP="003D0E46">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5AE5C077" w14:textId="77777777" w:rsidR="005A57E7" w:rsidRPr="008E6725" w:rsidRDefault="005A57E7" w:rsidP="003D0E46">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3B157D75" w14:textId="77777777" w:rsidR="005A57E7" w:rsidRPr="008E6725" w:rsidRDefault="005A57E7" w:rsidP="003D0E46">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427ABE61" w14:textId="77777777" w:rsidR="005A57E7" w:rsidRPr="008E6725" w:rsidRDefault="005A57E7" w:rsidP="003D0E46">
            <w:pPr>
              <w:tabs>
                <w:tab w:val="left" w:pos="1986"/>
              </w:tabs>
              <w:spacing w:before="120"/>
              <w:ind w:left="1986" w:right="-57"/>
              <w:rPr>
                <w:sz w:val="20"/>
                <w:szCs w:val="20"/>
              </w:rPr>
            </w:pPr>
            <w:r w:rsidRPr="0093777A">
              <w:rPr>
                <w:noProof/>
                <w:sz w:val="20"/>
                <w:szCs w:val="20"/>
              </w:rPr>
              <w:t>320 - Bachelor of Education (Secondary)</w:t>
            </w:r>
          </w:p>
          <w:p w14:paraId="79E67703" w14:textId="77777777" w:rsidR="005A57E7" w:rsidRPr="008E6725" w:rsidRDefault="005A57E7" w:rsidP="003D0E46">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5A57E7" w:rsidRPr="007C3638" w14:paraId="37139EA9" w14:textId="77777777" w:rsidTr="003D0E46">
        <w:tc>
          <w:tcPr>
            <w:tcW w:w="1744" w:type="dxa"/>
            <w:shd w:val="clear" w:color="auto" w:fill="auto"/>
          </w:tcPr>
          <w:p w14:paraId="1065C13E" w14:textId="77777777" w:rsidR="005A57E7" w:rsidRPr="007C3638" w:rsidRDefault="005A57E7" w:rsidP="003D0E46">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2AB32EB5" w14:textId="77777777" w:rsidR="005A57E7" w:rsidRPr="007C3638" w:rsidRDefault="005A57E7" w:rsidP="003D0E46">
            <w:pPr>
              <w:spacing w:before="120" w:after="120"/>
              <w:ind w:right="-57"/>
              <w:rPr>
                <w:rFonts w:eastAsia="Calibri" w:cs="Times New Roman"/>
                <w:noProof/>
                <w:sz w:val="20"/>
                <w:szCs w:val="20"/>
              </w:rPr>
            </w:pPr>
            <w:r w:rsidRPr="0093777A">
              <w:rPr>
                <w:rFonts w:eastAsia="Calibri" w:cs="Times New Roman"/>
                <w:noProof/>
                <w:sz w:val="20"/>
                <w:szCs w:val="20"/>
              </w:rPr>
              <w:t>Face-to-face</w:t>
            </w:r>
          </w:p>
        </w:tc>
      </w:tr>
      <w:tr w:rsidR="005A57E7" w:rsidRPr="007C3638" w14:paraId="3D110B2F" w14:textId="77777777" w:rsidTr="003D0E46">
        <w:trPr>
          <w:trHeight w:val="270"/>
        </w:trPr>
        <w:tc>
          <w:tcPr>
            <w:tcW w:w="1744" w:type="dxa"/>
            <w:vMerge w:val="restart"/>
            <w:shd w:val="clear" w:color="auto" w:fill="auto"/>
          </w:tcPr>
          <w:p w14:paraId="06BA891F" w14:textId="77777777" w:rsidR="005A57E7" w:rsidRPr="008E6725" w:rsidRDefault="005A57E7" w:rsidP="003D0E46">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3D2B27EE" w14:textId="77777777" w:rsidR="005A57E7" w:rsidRPr="008E6725" w:rsidRDefault="005A57E7" w:rsidP="003D0E46">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3BA79BBF" w14:textId="77777777" w:rsidR="005A57E7" w:rsidRPr="008E6725" w:rsidRDefault="005A57E7" w:rsidP="003D0E4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280EB066" w14:textId="77777777" w:rsidR="005A57E7" w:rsidRPr="008E6725" w:rsidRDefault="005A57E7" w:rsidP="003D0E46">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569213DE" w14:textId="77777777" w:rsidR="005A57E7" w:rsidRPr="008E6725" w:rsidRDefault="005A57E7" w:rsidP="003D0E46">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5A57E7" w:rsidRPr="007C3638" w14:paraId="307ACE74" w14:textId="77777777" w:rsidTr="003D0E46">
        <w:tc>
          <w:tcPr>
            <w:tcW w:w="1744" w:type="dxa"/>
            <w:vMerge/>
            <w:shd w:val="clear" w:color="auto" w:fill="auto"/>
          </w:tcPr>
          <w:p w14:paraId="51E6D441" w14:textId="77777777" w:rsidR="005A57E7" w:rsidRPr="007C3638" w:rsidRDefault="005A57E7" w:rsidP="003D0E46">
            <w:pPr>
              <w:spacing w:before="120" w:after="120"/>
              <w:ind w:right="-57"/>
              <w:rPr>
                <w:rFonts w:ascii="Calibri" w:hAnsi="Calibri"/>
                <w:b/>
                <w:sz w:val="20"/>
                <w:szCs w:val="20"/>
              </w:rPr>
            </w:pPr>
          </w:p>
        </w:tc>
        <w:tc>
          <w:tcPr>
            <w:tcW w:w="7959" w:type="dxa"/>
            <w:shd w:val="clear" w:color="auto" w:fill="auto"/>
          </w:tcPr>
          <w:p w14:paraId="1F6994B6" w14:textId="77777777" w:rsidR="005A57E7" w:rsidRPr="007C3638" w:rsidRDefault="005A57E7" w:rsidP="003D0E46">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5A57E7" w:rsidRPr="007C3638" w14:paraId="770C2D57" w14:textId="77777777" w:rsidTr="003D0E46">
        <w:tc>
          <w:tcPr>
            <w:tcW w:w="1744" w:type="dxa"/>
            <w:shd w:val="clear" w:color="auto" w:fill="auto"/>
          </w:tcPr>
          <w:p w14:paraId="724F04CA" w14:textId="77777777" w:rsidR="005A57E7" w:rsidRPr="007C3638" w:rsidRDefault="005A57E7" w:rsidP="003D0E46">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5C77B29E" w14:textId="77777777" w:rsidR="005A57E7" w:rsidRPr="007C3638" w:rsidRDefault="005A57E7" w:rsidP="003D0E46">
            <w:pPr>
              <w:spacing w:before="120" w:after="120"/>
              <w:ind w:right="-57"/>
              <w:rPr>
                <w:rFonts w:ascii="Calibri" w:hAnsi="Calibri"/>
                <w:sz w:val="20"/>
                <w:szCs w:val="20"/>
              </w:rPr>
            </w:pPr>
            <w:r w:rsidRPr="0093777A">
              <w:rPr>
                <w:rFonts w:ascii="Calibri" w:hAnsi="Calibri"/>
                <w:noProof/>
                <w:sz w:val="20"/>
                <w:szCs w:val="20"/>
              </w:rPr>
              <w:t>20 credit points of introductory level HPE studies</w:t>
            </w:r>
          </w:p>
        </w:tc>
      </w:tr>
      <w:tr w:rsidR="005A57E7" w:rsidRPr="007C3638" w14:paraId="4E175FD3" w14:textId="77777777" w:rsidTr="003D0E46">
        <w:tc>
          <w:tcPr>
            <w:tcW w:w="1744" w:type="dxa"/>
            <w:shd w:val="clear" w:color="auto" w:fill="auto"/>
          </w:tcPr>
          <w:p w14:paraId="2934498F" w14:textId="77777777" w:rsidR="005A57E7" w:rsidRPr="007C3638" w:rsidRDefault="005A57E7" w:rsidP="003D0E46">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55F6BC9A" w14:textId="77777777" w:rsidR="005A57E7" w:rsidRPr="00AB3A1B" w:rsidRDefault="005A57E7" w:rsidP="003D0E46">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75AE4EFC" w14:textId="77777777" w:rsidR="005A57E7" w:rsidRPr="0093777A" w:rsidRDefault="005A57E7" w:rsidP="003D0E46">
            <w:pPr>
              <w:spacing w:before="120" w:after="120"/>
              <w:rPr>
                <w:rFonts w:ascii="Calibri" w:hAnsi="Calibri"/>
                <w:noProof/>
                <w:sz w:val="20"/>
                <w:szCs w:val="20"/>
              </w:rPr>
            </w:pPr>
            <w:r w:rsidRPr="0093777A">
              <w:rPr>
                <w:rFonts w:ascii="Calibri" w:hAnsi="Calibri"/>
                <w:noProof/>
                <w:sz w:val="20"/>
                <w:szCs w:val="20"/>
              </w:rPr>
              <w:t>Coaching is a vital element of a quality sports program. Coaches have the potential to positively influence the development of young people as they motivate players,  help them improve their skills,  facilitate character development and gain confidence that can sustain them through the whole of life. Coaches need to be educated in the practices and principles of teaching skills and strategies of games, and understanding the elements of coaching.</w:t>
            </w:r>
          </w:p>
          <w:p w14:paraId="3B192118" w14:textId="77777777" w:rsidR="005A57E7" w:rsidRPr="007E4D66" w:rsidRDefault="005A57E7" w:rsidP="003D0E46">
            <w:pPr>
              <w:spacing w:before="120" w:after="120"/>
            </w:pPr>
            <w:r w:rsidRPr="0093777A">
              <w:rPr>
                <w:rFonts w:ascii="Calibri" w:hAnsi="Calibri"/>
                <w:noProof/>
                <w:sz w:val="20"/>
                <w:szCs w:val="20"/>
              </w:rPr>
              <w:t>This unit will address issues of human movement, skill development, games for understanding, strategies and the philosophical challenges of inspiring students in ‘games’ situations. Students will engage with both the theory and practices of coaching to encourage effective participation and engagement of people in a ‘games’ environment. They will explore how a Christian worldview perspective will impact the selection of strategies and contexts, for planning, organising, implementing, evaluating and reflecting on the coaching role. It introduces them to the historical background, principles, structures, models, delivery and evaluation necessary for coaching opportunities.</w:t>
            </w:r>
          </w:p>
        </w:tc>
      </w:tr>
      <w:tr w:rsidR="005A57E7" w:rsidRPr="007C3638" w14:paraId="04032C9F" w14:textId="77777777" w:rsidTr="003D0E46">
        <w:tc>
          <w:tcPr>
            <w:tcW w:w="1744" w:type="dxa"/>
            <w:shd w:val="clear" w:color="auto" w:fill="auto"/>
          </w:tcPr>
          <w:p w14:paraId="71C3EDC7" w14:textId="77777777" w:rsidR="005A57E7" w:rsidRPr="007C3638" w:rsidRDefault="005A57E7"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0485DA1E" w14:textId="77777777" w:rsidR="005A57E7" w:rsidRDefault="005A57E7" w:rsidP="003D0E46">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1E0D56E4" w14:textId="77777777" w:rsidR="005A57E7" w:rsidRPr="00141FC5" w:rsidRDefault="005A57E7" w:rsidP="003D0E46">
            <w:pPr>
              <w:spacing w:before="120" w:after="120"/>
              <w:ind w:right="-57"/>
              <w:rPr>
                <w:rFonts w:ascii="Calibri" w:hAnsi="Calibri" w:cs="Calibri"/>
                <w:b/>
                <w:sz w:val="20"/>
              </w:rPr>
            </w:pPr>
            <w:r w:rsidRPr="00141FC5">
              <w:rPr>
                <w:rFonts w:ascii="Calibri" w:hAnsi="Calibri" w:cs="Calibri"/>
                <w:b/>
                <w:sz w:val="20"/>
              </w:rPr>
              <w:lastRenderedPageBreak/>
              <w:t>On-Campus mode</w:t>
            </w:r>
          </w:p>
          <w:p w14:paraId="00CB1FD4" w14:textId="77777777" w:rsidR="005A57E7" w:rsidRDefault="005A57E7" w:rsidP="005A57E7">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0B90C7EF" w14:textId="77777777" w:rsidR="005A57E7" w:rsidRDefault="005A57E7" w:rsidP="005A57E7">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4C52CCFA" w14:textId="77777777" w:rsidR="005A57E7" w:rsidRDefault="005A57E7" w:rsidP="003D0E46">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1F8E7E28" w14:textId="77777777" w:rsidR="005A57E7" w:rsidRDefault="005A57E7" w:rsidP="003D0E46">
            <w:pPr>
              <w:spacing w:before="120" w:after="120"/>
              <w:ind w:right="-57"/>
              <w:rPr>
                <w:rFonts w:ascii="Calibri" w:hAnsi="Calibri" w:cs="Calibri"/>
              </w:rPr>
            </w:pPr>
            <w:r>
              <w:rPr>
                <w:rFonts w:ascii="Calibri" w:hAnsi="Calibri" w:cs="Calibri"/>
                <w:b/>
                <w:bCs/>
                <w:sz w:val="20"/>
                <w:szCs w:val="20"/>
              </w:rPr>
              <w:t>On-line mode</w:t>
            </w:r>
          </w:p>
          <w:p w14:paraId="388A92E8" w14:textId="77777777" w:rsidR="005A57E7" w:rsidRDefault="005A57E7" w:rsidP="005A57E7">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3732A7F9" w14:textId="77777777" w:rsidR="005A57E7" w:rsidRDefault="005A57E7" w:rsidP="005A57E7">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2D62BF32" w14:textId="77777777" w:rsidR="005A57E7" w:rsidRDefault="005A57E7" w:rsidP="003D0E46">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404D9C6F"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7C771BCC"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00725A46"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3DFDD7F7"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4E5302D6"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61A0A475" w14:textId="77777777" w:rsidR="005A57E7" w:rsidRPr="004545F8" w:rsidRDefault="005A57E7" w:rsidP="005A57E7">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6AD1F8BD" w14:textId="77777777" w:rsidR="005A57E7" w:rsidRPr="004545F8" w:rsidRDefault="005A57E7" w:rsidP="003D0E46">
            <w:pPr>
              <w:spacing w:line="252" w:lineRule="auto"/>
              <w:ind w:left="720"/>
              <w:rPr>
                <w:rFonts w:eastAsia="Times New Roman" w:cs="Calibri"/>
              </w:rPr>
            </w:pPr>
          </w:p>
          <w:p w14:paraId="14405B81" w14:textId="77777777" w:rsidR="005A57E7" w:rsidRPr="005B1564" w:rsidRDefault="005A57E7" w:rsidP="003D0E46">
            <w:pPr>
              <w:spacing w:after="120"/>
              <w:rPr>
                <w:rFonts w:eastAsia="Times New Roman"/>
              </w:rPr>
            </w:pPr>
            <w:r w:rsidRPr="008E6725">
              <w:rPr>
                <w:sz w:val="20"/>
              </w:rPr>
              <w:t>All unit outlines are reviewed prior to the offering of the unit to take account of student and lecturer feedback.</w:t>
            </w:r>
          </w:p>
        </w:tc>
      </w:tr>
      <w:tr w:rsidR="005A57E7" w:rsidRPr="007C3638" w14:paraId="41E85D64" w14:textId="77777777" w:rsidTr="003D0E46">
        <w:tc>
          <w:tcPr>
            <w:tcW w:w="1744" w:type="dxa"/>
            <w:shd w:val="clear" w:color="auto" w:fill="auto"/>
          </w:tcPr>
          <w:p w14:paraId="08D3918D" w14:textId="77777777" w:rsidR="005A57E7" w:rsidRPr="007C3638" w:rsidRDefault="005A57E7" w:rsidP="003D0E46">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37839422" w14:textId="77777777" w:rsidR="005A57E7" w:rsidRDefault="005A57E7" w:rsidP="003D0E46">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Introduction to Coaching.</w:t>
            </w:r>
          </w:p>
          <w:p w14:paraId="4DD6A1E2" w14:textId="77777777" w:rsidR="005A57E7" w:rsidRDefault="005A57E7" w:rsidP="003D0E46">
            <w:pPr>
              <w:spacing w:before="120"/>
              <w:ind w:left="445" w:right="-57" w:hanging="425"/>
              <w:rPr>
                <w:sz w:val="20"/>
                <w:szCs w:val="20"/>
              </w:rPr>
            </w:pPr>
          </w:p>
          <w:p w14:paraId="3E0D4A85" w14:textId="77777777" w:rsidR="005A57E7" w:rsidRDefault="005A57E7" w:rsidP="003D0E46">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Foundations of Teaching Games.</w:t>
            </w:r>
          </w:p>
          <w:p w14:paraId="1EF0ADFB" w14:textId="77777777" w:rsidR="005A57E7" w:rsidRDefault="005A57E7" w:rsidP="003D0E46">
            <w:pPr>
              <w:tabs>
                <w:tab w:val="left" w:pos="2268"/>
              </w:tabs>
              <w:ind w:left="423" w:right="-57" w:hanging="423"/>
              <w:rPr>
                <w:b/>
                <w:sz w:val="20"/>
                <w:szCs w:val="20"/>
              </w:rPr>
            </w:pPr>
          </w:p>
          <w:p w14:paraId="124F2B9C" w14:textId="77777777" w:rsidR="005A57E7" w:rsidRDefault="005A57E7" w:rsidP="003D0E46">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Foundations of Coaching.</w:t>
            </w:r>
          </w:p>
          <w:p w14:paraId="0248C6B5" w14:textId="77777777" w:rsidR="005A57E7" w:rsidRDefault="005A57E7" w:rsidP="003D0E46">
            <w:pPr>
              <w:tabs>
                <w:tab w:val="left" w:pos="2268"/>
              </w:tabs>
              <w:ind w:left="423" w:right="-57" w:hanging="423"/>
              <w:rPr>
                <w:b/>
                <w:sz w:val="20"/>
                <w:szCs w:val="20"/>
              </w:rPr>
            </w:pPr>
          </w:p>
          <w:p w14:paraId="3CFBC8B9" w14:textId="77777777" w:rsidR="005A57E7" w:rsidRDefault="005A57E7" w:rsidP="003D0E46">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Pedagogies and Practices in Games and Coaching</w:t>
            </w:r>
          </w:p>
          <w:p w14:paraId="2250392D" w14:textId="77777777" w:rsidR="005A57E7" w:rsidRDefault="005A57E7" w:rsidP="003D0E46">
            <w:pPr>
              <w:tabs>
                <w:tab w:val="left" w:pos="2268"/>
              </w:tabs>
              <w:ind w:left="423" w:right="-57" w:hanging="423"/>
              <w:rPr>
                <w:b/>
                <w:sz w:val="20"/>
                <w:szCs w:val="20"/>
              </w:rPr>
            </w:pPr>
          </w:p>
          <w:p w14:paraId="7AAE4744" w14:textId="77777777" w:rsidR="005A57E7" w:rsidRDefault="005A57E7" w:rsidP="003D0E46">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Whole-School Approaches to Games and Coaching</w:t>
            </w:r>
          </w:p>
          <w:p w14:paraId="0AF0E654" w14:textId="77777777" w:rsidR="005A57E7" w:rsidRDefault="005A57E7" w:rsidP="003D0E46">
            <w:pPr>
              <w:tabs>
                <w:tab w:val="left" w:pos="2268"/>
              </w:tabs>
              <w:ind w:left="423" w:right="-57" w:hanging="423"/>
              <w:rPr>
                <w:b/>
                <w:sz w:val="20"/>
                <w:szCs w:val="20"/>
              </w:rPr>
            </w:pPr>
          </w:p>
          <w:p w14:paraId="56C0EA46" w14:textId="77777777" w:rsidR="005A57E7" w:rsidRPr="00D95EAF" w:rsidRDefault="005A57E7" w:rsidP="003D0E46">
            <w:pPr>
              <w:tabs>
                <w:tab w:val="left" w:pos="2268"/>
              </w:tabs>
              <w:ind w:left="423" w:right="-57" w:hanging="423"/>
              <w:rPr>
                <w:sz w:val="20"/>
                <w:szCs w:val="20"/>
              </w:rPr>
            </w:pPr>
          </w:p>
        </w:tc>
      </w:tr>
      <w:tr w:rsidR="005A57E7" w:rsidRPr="007C3638" w14:paraId="2CDEA88A" w14:textId="77777777" w:rsidTr="003D0E46">
        <w:tc>
          <w:tcPr>
            <w:tcW w:w="1744" w:type="dxa"/>
            <w:shd w:val="clear" w:color="auto" w:fill="auto"/>
          </w:tcPr>
          <w:p w14:paraId="0A5396A1" w14:textId="77777777" w:rsidR="005A57E7" w:rsidRPr="008E6725" w:rsidRDefault="005A57E7" w:rsidP="003D0E46">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43C65509" w14:textId="77777777" w:rsidR="005A57E7" w:rsidRDefault="005A57E7" w:rsidP="003D0E46">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2AB91D1A" w14:textId="77777777" w:rsidR="005A57E7" w:rsidRDefault="005A57E7" w:rsidP="003D0E46">
            <w:pPr>
              <w:rPr>
                <w:b/>
                <w:noProof/>
                <w:sz w:val="20"/>
                <w:szCs w:val="20"/>
              </w:rPr>
            </w:pPr>
          </w:p>
          <w:p w14:paraId="1A9E3854" w14:textId="77777777" w:rsidR="005A57E7" w:rsidRDefault="005A57E7" w:rsidP="003D0E46">
            <w:pPr>
              <w:rPr>
                <w:noProof/>
                <w:sz w:val="20"/>
                <w:szCs w:val="20"/>
              </w:rPr>
            </w:pPr>
            <w:r w:rsidRPr="0093777A">
              <w:rPr>
                <w:b/>
                <w:noProof/>
                <w:sz w:val="20"/>
                <w:szCs w:val="20"/>
              </w:rPr>
              <w:t>1.</w:t>
            </w:r>
            <w:r>
              <w:rPr>
                <w:b/>
                <w:noProof/>
                <w:sz w:val="20"/>
                <w:szCs w:val="20"/>
              </w:rPr>
              <w:t xml:space="preserve">      </w:t>
            </w:r>
            <w:r w:rsidRPr="0093777A">
              <w:rPr>
                <w:noProof/>
                <w:sz w:val="20"/>
                <w:szCs w:val="20"/>
              </w:rPr>
              <w:t>identified the key elements in teaching movement, skills development and  positive attitudes in coaching games;</w:t>
            </w:r>
            <w:r w:rsidRPr="005E441A">
              <w:rPr>
                <w:noProof/>
                <w:sz w:val="20"/>
                <w:szCs w:val="20"/>
              </w:rPr>
              <w:t xml:space="preserve"> </w:t>
            </w:r>
          </w:p>
          <w:p w14:paraId="42E3A5BD" w14:textId="77777777" w:rsidR="005A57E7" w:rsidRPr="005E441A" w:rsidRDefault="005A57E7" w:rsidP="003D0E46">
            <w:pPr>
              <w:ind w:left="417"/>
              <w:rPr>
                <w:sz w:val="20"/>
                <w:szCs w:val="20"/>
              </w:rPr>
            </w:pPr>
            <w:r w:rsidRPr="0093777A">
              <w:rPr>
                <w:noProof/>
                <w:sz w:val="20"/>
                <w:szCs w:val="20"/>
              </w:rPr>
              <w:t>Graduate Attributes: 1,2,4</w:t>
            </w:r>
          </w:p>
          <w:p w14:paraId="325A187B" w14:textId="77777777" w:rsidR="005A57E7" w:rsidRDefault="005A57E7" w:rsidP="003D0E46">
            <w:pPr>
              <w:rPr>
                <w:b/>
                <w:noProof/>
                <w:sz w:val="20"/>
                <w:szCs w:val="20"/>
              </w:rPr>
            </w:pPr>
          </w:p>
          <w:p w14:paraId="4569F1D6" w14:textId="77777777" w:rsidR="005A57E7" w:rsidRDefault="005A57E7" w:rsidP="003D0E46">
            <w:pPr>
              <w:rPr>
                <w:noProof/>
                <w:sz w:val="20"/>
                <w:szCs w:val="20"/>
              </w:rPr>
            </w:pPr>
            <w:r w:rsidRPr="0093777A">
              <w:rPr>
                <w:b/>
                <w:noProof/>
                <w:sz w:val="20"/>
                <w:szCs w:val="20"/>
              </w:rPr>
              <w:t>2.</w:t>
            </w:r>
            <w:r>
              <w:rPr>
                <w:b/>
                <w:noProof/>
                <w:sz w:val="20"/>
                <w:szCs w:val="20"/>
              </w:rPr>
              <w:t xml:space="preserve">      </w:t>
            </w:r>
            <w:r w:rsidRPr="0093777A">
              <w:rPr>
                <w:noProof/>
                <w:sz w:val="20"/>
                <w:szCs w:val="20"/>
              </w:rPr>
              <w:t>critically analysed advanced knowledge relevant to the coaching of games and sports;</w:t>
            </w:r>
            <w:r w:rsidRPr="005E441A">
              <w:rPr>
                <w:noProof/>
                <w:sz w:val="20"/>
                <w:szCs w:val="20"/>
              </w:rPr>
              <w:t xml:space="preserve"> </w:t>
            </w:r>
          </w:p>
          <w:p w14:paraId="0C6F7FB4" w14:textId="77777777" w:rsidR="005A57E7" w:rsidRPr="00FD54C0" w:rsidRDefault="005A57E7" w:rsidP="003D0E46">
            <w:pPr>
              <w:ind w:left="417"/>
              <w:rPr>
                <w:noProof/>
                <w:sz w:val="20"/>
                <w:szCs w:val="20"/>
              </w:rPr>
            </w:pPr>
            <w:r w:rsidRPr="0093777A">
              <w:rPr>
                <w:noProof/>
                <w:sz w:val="20"/>
                <w:szCs w:val="20"/>
              </w:rPr>
              <w:t>Graduate Attributes: 1,2,4</w:t>
            </w:r>
          </w:p>
          <w:p w14:paraId="2C82D184" w14:textId="77777777" w:rsidR="005A57E7" w:rsidRDefault="005A57E7" w:rsidP="003D0E46">
            <w:pPr>
              <w:rPr>
                <w:b/>
                <w:noProof/>
                <w:sz w:val="20"/>
                <w:szCs w:val="20"/>
              </w:rPr>
            </w:pPr>
          </w:p>
          <w:p w14:paraId="31AC867A" w14:textId="77777777" w:rsidR="005A57E7" w:rsidRDefault="005A57E7" w:rsidP="003D0E46">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reflected critically on Christian perspectives and approaches to coaching in  games and sports;</w:t>
            </w:r>
            <w:r w:rsidRPr="005E441A">
              <w:rPr>
                <w:noProof/>
                <w:sz w:val="20"/>
                <w:szCs w:val="20"/>
              </w:rPr>
              <w:t xml:space="preserve"> </w:t>
            </w:r>
          </w:p>
          <w:p w14:paraId="42AFC1C6" w14:textId="77777777" w:rsidR="005A57E7" w:rsidRDefault="005A57E7" w:rsidP="003D0E46">
            <w:pPr>
              <w:ind w:left="417"/>
              <w:rPr>
                <w:noProof/>
                <w:sz w:val="20"/>
                <w:szCs w:val="20"/>
              </w:rPr>
            </w:pPr>
            <w:r w:rsidRPr="0093777A">
              <w:rPr>
                <w:noProof/>
                <w:sz w:val="20"/>
                <w:szCs w:val="20"/>
              </w:rPr>
              <w:t>Graduate Attributes: 2,3,7</w:t>
            </w:r>
          </w:p>
          <w:p w14:paraId="6BA99F65" w14:textId="77777777" w:rsidR="005A57E7" w:rsidRPr="005E441A" w:rsidRDefault="005A57E7" w:rsidP="003D0E46">
            <w:pPr>
              <w:ind w:left="417"/>
              <w:rPr>
                <w:noProof/>
                <w:sz w:val="20"/>
                <w:szCs w:val="20"/>
              </w:rPr>
            </w:pPr>
          </w:p>
          <w:p w14:paraId="6554D70E" w14:textId="77777777" w:rsidR="005A57E7" w:rsidRDefault="005A57E7" w:rsidP="003D0E46">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developed coaching activities and strategies aligned with the theory and practice of coaching;</w:t>
            </w:r>
            <w:r w:rsidRPr="005E441A">
              <w:rPr>
                <w:noProof/>
                <w:sz w:val="20"/>
                <w:szCs w:val="20"/>
              </w:rPr>
              <w:t xml:space="preserve"> </w:t>
            </w:r>
          </w:p>
          <w:p w14:paraId="02CB2D8C" w14:textId="77777777" w:rsidR="005A57E7" w:rsidRPr="005E441A" w:rsidRDefault="005A57E7" w:rsidP="003D0E46">
            <w:pPr>
              <w:ind w:left="417"/>
              <w:rPr>
                <w:noProof/>
                <w:sz w:val="20"/>
                <w:szCs w:val="20"/>
              </w:rPr>
            </w:pPr>
            <w:r w:rsidRPr="0093777A">
              <w:rPr>
                <w:noProof/>
                <w:sz w:val="20"/>
                <w:szCs w:val="20"/>
              </w:rPr>
              <w:t>Graduate Attributes: 1,2,4</w:t>
            </w:r>
          </w:p>
          <w:p w14:paraId="479F1832" w14:textId="77777777" w:rsidR="005A57E7" w:rsidRDefault="005A57E7" w:rsidP="003D0E46">
            <w:pPr>
              <w:rPr>
                <w:b/>
                <w:noProof/>
                <w:sz w:val="20"/>
                <w:szCs w:val="20"/>
              </w:rPr>
            </w:pPr>
          </w:p>
          <w:p w14:paraId="3D7002D2" w14:textId="77777777" w:rsidR="005A57E7" w:rsidRDefault="005A57E7" w:rsidP="003D0E46">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engaged with pedagogical strategies, tools and resources mediated through ICT technologies, relevant to coaching and games;</w:t>
            </w:r>
            <w:r w:rsidRPr="005E441A">
              <w:rPr>
                <w:noProof/>
                <w:sz w:val="20"/>
                <w:szCs w:val="20"/>
              </w:rPr>
              <w:t xml:space="preserve"> </w:t>
            </w:r>
          </w:p>
          <w:p w14:paraId="0D28F5CE" w14:textId="77777777" w:rsidR="005A57E7" w:rsidRPr="005E441A" w:rsidRDefault="005A57E7" w:rsidP="003D0E46">
            <w:pPr>
              <w:ind w:left="417"/>
              <w:rPr>
                <w:noProof/>
                <w:sz w:val="20"/>
                <w:szCs w:val="20"/>
              </w:rPr>
            </w:pPr>
            <w:r w:rsidRPr="0093777A">
              <w:rPr>
                <w:noProof/>
                <w:sz w:val="20"/>
                <w:szCs w:val="20"/>
              </w:rPr>
              <w:t>Graduate Attributes: 1,2,4</w:t>
            </w:r>
          </w:p>
          <w:p w14:paraId="776A8632" w14:textId="77777777" w:rsidR="005A57E7" w:rsidRDefault="005A57E7" w:rsidP="003D0E46">
            <w:pPr>
              <w:rPr>
                <w:b/>
                <w:noProof/>
                <w:sz w:val="20"/>
                <w:szCs w:val="20"/>
              </w:rPr>
            </w:pPr>
          </w:p>
          <w:p w14:paraId="4CAB2C5E" w14:textId="77777777" w:rsidR="005A57E7" w:rsidRDefault="005A57E7" w:rsidP="003D0E46">
            <w:pPr>
              <w:ind w:left="445" w:hanging="425"/>
              <w:rPr>
                <w:noProof/>
                <w:sz w:val="20"/>
                <w:szCs w:val="20"/>
              </w:rPr>
            </w:pPr>
            <w:r w:rsidRPr="0093777A">
              <w:rPr>
                <w:b/>
                <w:noProof/>
                <w:sz w:val="20"/>
                <w:szCs w:val="20"/>
              </w:rPr>
              <w:lastRenderedPageBreak/>
              <w:t>6.</w:t>
            </w:r>
            <w:r>
              <w:rPr>
                <w:b/>
                <w:noProof/>
                <w:sz w:val="20"/>
                <w:szCs w:val="20"/>
              </w:rPr>
              <w:t xml:space="preserve">      </w:t>
            </w:r>
            <w:r w:rsidRPr="0093777A">
              <w:rPr>
                <w:noProof/>
                <w:sz w:val="20"/>
                <w:szCs w:val="20"/>
              </w:rPr>
              <w:t>applied critical and methodological rigour to select appropriate skills and strategies for planning coaching experiences, including strategies and assessment for participants in games and coaching sessions; and</w:t>
            </w:r>
            <w:r w:rsidRPr="005E441A">
              <w:rPr>
                <w:noProof/>
                <w:sz w:val="20"/>
                <w:szCs w:val="20"/>
              </w:rPr>
              <w:t xml:space="preserve"> </w:t>
            </w:r>
          </w:p>
          <w:p w14:paraId="5DD1E3E5" w14:textId="77777777" w:rsidR="005A57E7" w:rsidRDefault="005A57E7" w:rsidP="003D0E46">
            <w:pPr>
              <w:ind w:left="417"/>
              <w:rPr>
                <w:noProof/>
                <w:sz w:val="20"/>
                <w:szCs w:val="20"/>
              </w:rPr>
            </w:pPr>
            <w:r w:rsidRPr="0093777A">
              <w:rPr>
                <w:noProof/>
                <w:sz w:val="20"/>
                <w:szCs w:val="20"/>
              </w:rPr>
              <w:t>Graduate Attributes: 1,4</w:t>
            </w:r>
          </w:p>
          <w:p w14:paraId="5820A88C" w14:textId="77777777" w:rsidR="005A57E7" w:rsidRPr="005E441A" w:rsidRDefault="005A57E7" w:rsidP="003D0E46">
            <w:pPr>
              <w:ind w:left="417"/>
              <w:rPr>
                <w:noProof/>
                <w:sz w:val="20"/>
                <w:szCs w:val="20"/>
              </w:rPr>
            </w:pPr>
          </w:p>
          <w:p w14:paraId="77EEF353" w14:textId="77777777" w:rsidR="005A57E7" w:rsidRDefault="005A57E7" w:rsidP="003D0E46">
            <w:pPr>
              <w:rPr>
                <w:noProof/>
                <w:sz w:val="20"/>
                <w:szCs w:val="20"/>
              </w:rPr>
            </w:pPr>
            <w:r w:rsidRPr="0093777A">
              <w:rPr>
                <w:b/>
                <w:noProof/>
                <w:sz w:val="20"/>
                <w:szCs w:val="20"/>
              </w:rPr>
              <w:t>7.</w:t>
            </w:r>
            <w:r>
              <w:rPr>
                <w:b/>
                <w:noProof/>
                <w:sz w:val="20"/>
                <w:szCs w:val="20"/>
              </w:rPr>
              <w:t xml:space="preserve">       </w:t>
            </w:r>
            <w:r w:rsidRPr="0093777A">
              <w:rPr>
                <w:noProof/>
                <w:sz w:val="20"/>
                <w:szCs w:val="20"/>
              </w:rPr>
              <w:t>communicated at an appropriate tertiary standard: with special attention to design elements, grammars, usage, logical relations, style, referencing and presentation.</w:t>
            </w:r>
            <w:r w:rsidRPr="005E441A">
              <w:rPr>
                <w:noProof/>
                <w:sz w:val="20"/>
                <w:szCs w:val="20"/>
              </w:rPr>
              <w:t xml:space="preserve"> </w:t>
            </w:r>
          </w:p>
          <w:p w14:paraId="24F9A9A5" w14:textId="77777777" w:rsidR="005A57E7" w:rsidRPr="005E441A" w:rsidRDefault="005A57E7" w:rsidP="003D0E46">
            <w:pPr>
              <w:ind w:left="417"/>
              <w:rPr>
                <w:noProof/>
                <w:sz w:val="20"/>
                <w:szCs w:val="20"/>
              </w:rPr>
            </w:pPr>
            <w:r w:rsidRPr="0093777A">
              <w:rPr>
                <w:noProof/>
                <w:sz w:val="20"/>
                <w:szCs w:val="20"/>
              </w:rPr>
              <w:t>Graduate Attributes: 6</w:t>
            </w:r>
          </w:p>
          <w:p w14:paraId="18EDE766" w14:textId="77777777" w:rsidR="005A57E7" w:rsidRDefault="005A57E7" w:rsidP="003D0E46">
            <w:pPr>
              <w:rPr>
                <w:b/>
                <w:noProof/>
                <w:sz w:val="20"/>
                <w:szCs w:val="20"/>
              </w:rPr>
            </w:pPr>
          </w:p>
          <w:p w14:paraId="79D30054" w14:textId="77777777" w:rsidR="005A57E7" w:rsidRDefault="005A57E7" w:rsidP="003D0E46">
            <w:pPr>
              <w:rPr>
                <w:b/>
                <w:noProof/>
                <w:sz w:val="20"/>
                <w:szCs w:val="20"/>
              </w:rPr>
            </w:pPr>
          </w:p>
          <w:p w14:paraId="2EC09346" w14:textId="77777777" w:rsidR="005A57E7" w:rsidRPr="00FD54C0" w:rsidRDefault="005A57E7" w:rsidP="003D0E46">
            <w:pPr>
              <w:rPr>
                <w:sz w:val="20"/>
                <w:szCs w:val="20"/>
              </w:rPr>
            </w:pPr>
          </w:p>
        </w:tc>
      </w:tr>
      <w:tr w:rsidR="005A57E7" w:rsidRPr="007C3638" w14:paraId="2AE8EE95" w14:textId="77777777" w:rsidTr="003D0E46">
        <w:tc>
          <w:tcPr>
            <w:tcW w:w="1744" w:type="dxa"/>
            <w:shd w:val="clear" w:color="auto" w:fill="auto"/>
          </w:tcPr>
          <w:p w14:paraId="74F4943D" w14:textId="77777777" w:rsidR="005A57E7" w:rsidRPr="007C3638" w:rsidRDefault="005A57E7" w:rsidP="003D0E46">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65E7EDC1" w14:textId="77777777" w:rsidR="005A57E7" w:rsidRPr="00741670" w:rsidRDefault="005A57E7" w:rsidP="003D0E46">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Case Study Report</w:t>
            </w:r>
          </w:p>
          <w:p w14:paraId="0D990039" w14:textId="77777777" w:rsidR="005A57E7" w:rsidRDefault="005A57E7" w:rsidP="003D0E46">
            <w:pPr>
              <w:rPr>
                <w:noProof/>
                <w:sz w:val="20"/>
                <w:szCs w:val="20"/>
              </w:rPr>
            </w:pPr>
            <w:r w:rsidRPr="00CB6AC9">
              <w:rPr>
                <w:noProof/>
                <w:sz w:val="20"/>
                <w:szCs w:val="20"/>
              </w:rPr>
              <w:t xml:space="preserve">Through the observation of coaching sessions, you will critically analyse and report on the key elements involved in teaching movement, skill development and attitudes in coaching games. </w:t>
            </w:r>
          </w:p>
          <w:p w14:paraId="41AA4EE4" w14:textId="77777777" w:rsidR="005A57E7" w:rsidRDefault="005A57E7" w:rsidP="003D0E46">
            <w:pPr>
              <w:rPr>
                <w:noProof/>
                <w:sz w:val="20"/>
                <w:szCs w:val="20"/>
              </w:rPr>
            </w:pPr>
          </w:p>
          <w:p w14:paraId="3DA165E8" w14:textId="77777777" w:rsidR="005A57E7" w:rsidRPr="009D43E7" w:rsidRDefault="005A57E7" w:rsidP="003D0E46">
            <w:pPr>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1,500 words</w:t>
            </w:r>
          </w:p>
          <w:p w14:paraId="73CF5064" w14:textId="77777777" w:rsidR="005A57E7" w:rsidRPr="009D43E7" w:rsidRDefault="005A57E7" w:rsidP="003D0E46">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40%</w:t>
            </w:r>
          </w:p>
          <w:p w14:paraId="734C07BB" w14:textId="77777777" w:rsidR="005A57E7" w:rsidRDefault="005A57E7" w:rsidP="003D0E46">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w:t>
            </w:r>
            <w:r>
              <w:rPr>
                <w:rFonts w:ascii="Calibri" w:eastAsia="Calibri" w:hAnsi="Calibri"/>
                <w:noProof/>
                <w:sz w:val="20"/>
                <w:szCs w:val="20"/>
              </w:rPr>
              <w:t xml:space="preserve"> </w:t>
            </w:r>
            <w:r w:rsidRPr="0093777A">
              <w:rPr>
                <w:rFonts w:ascii="Calibri" w:eastAsia="Calibri" w:hAnsi="Calibri"/>
                <w:noProof/>
                <w:sz w:val="20"/>
                <w:szCs w:val="20"/>
              </w:rPr>
              <w:t>8</w:t>
            </w:r>
          </w:p>
          <w:p w14:paraId="46D1976E" w14:textId="77777777" w:rsidR="005A57E7" w:rsidRPr="00741670" w:rsidRDefault="005A57E7" w:rsidP="003D0E46">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Folio and Rationale</w:t>
            </w:r>
          </w:p>
          <w:p w14:paraId="71AB3298" w14:textId="77777777" w:rsidR="005A57E7" w:rsidRPr="00CB6AC9" w:rsidRDefault="005A57E7" w:rsidP="003D0E46">
            <w:pPr>
              <w:tabs>
                <w:tab w:val="left" w:pos="2268"/>
              </w:tabs>
              <w:spacing w:before="120" w:after="120"/>
              <w:ind w:right="-57"/>
              <w:rPr>
                <w:noProof/>
                <w:sz w:val="20"/>
                <w:szCs w:val="20"/>
              </w:rPr>
            </w:pPr>
            <w:r w:rsidRPr="00CB6AC9">
              <w:rPr>
                <w:noProof/>
                <w:sz w:val="20"/>
                <w:szCs w:val="20"/>
              </w:rPr>
              <w:t>Part A: Develop a folio of three coaching sessions (following the lecturer’s template) for one of the groups of students observed in Assessment #1, for an alternate game/discipline.</w:t>
            </w:r>
          </w:p>
          <w:p w14:paraId="4FC0F70A" w14:textId="77777777" w:rsidR="005A57E7" w:rsidRPr="00CB6AC9" w:rsidRDefault="005A57E7" w:rsidP="003D0E46">
            <w:pPr>
              <w:tabs>
                <w:tab w:val="left" w:pos="2268"/>
              </w:tabs>
              <w:spacing w:before="120" w:after="120"/>
              <w:ind w:right="-57"/>
              <w:rPr>
                <w:noProof/>
                <w:sz w:val="20"/>
                <w:szCs w:val="20"/>
              </w:rPr>
            </w:pPr>
            <w:r w:rsidRPr="00CB6AC9">
              <w:rPr>
                <w:noProof/>
                <w:sz w:val="20"/>
                <w:szCs w:val="20"/>
              </w:rPr>
              <w:t>Part B: Include a rationale (minimum of 500 words) in your Folio that includes a justification for your chosen coaching activities, strategies and assessment aligned with the theory and practice of coaching from this unit as well as your reflection upon a Christian perspective in relation to the human body and HPE imperatives</w:t>
            </w:r>
          </w:p>
          <w:p w14:paraId="38D2245B" w14:textId="77777777" w:rsidR="005A57E7" w:rsidRPr="00745DC7" w:rsidRDefault="005A57E7" w:rsidP="003D0E46">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2,000 words</w:t>
            </w:r>
          </w:p>
          <w:p w14:paraId="70C99C36" w14:textId="77777777" w:rsidR="005A57E7" w:rsidRPr="007947D4" w:rsidRDefault="005A57E7" w:rsidP="003D0E46">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60%</w:t>
            </w:r>
          </w:p>
          <w:p w14:paraId="017AA5B4" w14:textId="77777777" w:rsidR="005A57E7" w:rsidRDefault="005A57E7" w:rsidP="003D0E46">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Week 16</w:t>
            </w:r>
          </w:p>
          <w:p w14:paraId="59339506" w14:textId="77777777" w:rsidR="005A57E7" w:rsidRPr="006B5387" w:rsidRDefault="005A57E7" w:rsidP="003D0E46">
            <w:pPr>
              <w:spacing w:before="120" w:after="240"/>
              <w:ind w:left="20" w:right="-57"/>
              <w:rPr>
                <w:rFonts w:ascii="Calibri" w:eastAsia="Calibri" w:hAnsi="Calibri" w:cs="Times New Roman"/>
                <w:noProof/>
                <w:sz w:val="20"/>
                <w:szCs w:val="20"/>
              </w:rPr>
            </w:pPr>
          </w:p>
        </w:tc>
      </w:tr>
      <w:tr w:rsidR="005A57E7" w:rsidRPr="007C3638" w14:paraId="765D53DC" w14:textId="77777777" w:rsidTr="003D0E46">
        <w:tc>
          <w:tcPr>
            <w:tcW w:w="1744" w:type="dxa"/>
            <w:shd w:val="clear" w:color="auto" w:fill="auto"/>
          </w:tcPr>
          <w:p w14:paraId="4515A28B" w14:textId="77777777" w:rsidR="005A57E7" w:rsidRPr="00116300" w:rsidRDefault="005A57E7" w:rsidP="003D0E46">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5A57E7" w:rsidRPr="00116300" w14:paraId="41C7EA60" w14:textId="77777777" w:rsidTr="003D0E46">
              <w:tc>
                <w:tcPr>
                  <w:tcW w:w="1687" w:type="dxa"/>
                  <w:shd w:val="clear" w:color="auto" w:fill="auto"/>
                </w:tcPr>
                <w:p w14:paraId="6A099538" w14:textId="77777777" w:rsidR="005A57E7" w:rsidRPr="00116300" w:rsidRDefault="005A57E7"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0CAE86AC" w14:textId="77777777" w:rsidR="005A57E7" w:rsidRPr="00116300" w:rsidRDefault="005A57E7"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1E713B98" w14:textId="77777777" w:rsidR="005A57E7" w:rsidRPr="00116300" w:rsidRDefault="005A57E7"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7907F827" w14:textId="77777777" w:rsidR="005A57E7" w:rsidRPr="00116300" w:rsidRDefault="005A57E7" w:rsidP="003D0E46">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5A57E7" w:rsidRPr="00116300" w14:paraId="7E392FCE" w14:textId="77777777" w:rsidTr="003D0E46">
              <w:tc>
                <w:tcPr>
                  <w:tcW w:w="1687" w:type="dxa"/>
                </w:tcPr>
                <w:p w14:paraId="2D77489B" w14:textId="77777777" w:rsidR="005A57E7" w:rsidRPr="00116300" w:rsidRDefault="005A57E7"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4293315" w14:textId="77777777" w:rsidR="005A57E7" w:rsidRPr="00116300" w:rsidRDefault="005A57E7"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 2, 4-7</w:t>
                  </w:r>
                </w:p>
              </w:tc>
              <w:tc>
                <w:tcPr>
                  <w:tcW w:w="1857" w:type="dxa"/>
                  <w:shd w:val="clear" w:color="auto" w:fill="auto"/>
                </w:tcPr>
                <w:p w14:paraId="4B997F20" w14:textId="77777777" w:rsidR="005A57E7" w:rsidRPr="00116300" w:rsidRDefault="005A57E7" w:rsidP="003D0E46">
                  <w:pPr>
                    <w:tabs>
                      <w:tab w:val="left" w:pos="460"/>
                    </w:tabs>
                    <w:spacing w:before="120" w:after="120"/>
                    <w:ind w:right="-57"/>
                    <w:jc w:val="center"/>
                    <w:rPr>
                      <w:rFonts w:ascii="Calibri" w:hAnsi="Calibri"/>
                      <w:sz w:val="20"/>
                      <w:szCs w:val="20"/>
                    </w:rPr>
                  </w:pPr>
                  <w:r>
                    <w:rPr>
                      <w:rFonts w:ascii="Calibri" w:hAnsi="Calibri"/>
                      <w:sz w:val="20"/>
                      <w:szCs w:val="20"/>
                    </w:rPr>
                    <w:t>1-5</w:t>
                  </w:r>
                </w:p>
              </w:tc>
              <w:tc>
                <w:tcPr>
                  <w:tcW w:w="1843" w:type="dxa"/>
                </w:tcPr>
                <w:p w14:paraId="5AAEC7F0" w14:textId="77777777" w:rsidR="005A57E7" w:rsidRPr="00116300" w:rsidRDefault="005A57E7" w:rsidP="003D0E46">
                  <w:pPr>
                    <w:tabs>
                      <w:tab w:val="left" w:pos="460"/>
                    </w:tabs>
                    <w:spacing w:before="120" w:after="120"/>
                    <w:ind w:right="-57"/>
                    <w:jc w:val="center"/>
                    <w:rPr>
                      <w:rFonts w:ascii="Calibri" w:hAnsi="Calibri"/>
                      <w:sz w:val="20"/>
                      <w:szCs w:val="20"/>
                    </w:rPr>
                  </w:pPr>
                  <w:r>
                    <w:rPr>
                      <w:rFonts w:ascii="Calibri" w:hAnsi="Calibri"/>
                      <w:sz w:val="20"/>
                      <w:szCs w:val="20"/>
                    </w:rPr>
                    <w:t>2.1</w:t>
                  </w:r>
                </w:p>
              </w:tc>
            </w:tr>
            <w:tr w:rsidR="005A57E7" w:rsidRPr="00116300" w14:paraId="1AE61516" w14:textId="77777777" w:rsidTr="003D0E46">
              <w:tc>
                <w:tcPr>
                  <w:tcW w:w="1687" w:type="dxa"/>
                </w:tcPr>
                <w:p w14:paraId="72EBE812" w14:textId="77777777" w:rsidR="005A57E7" w:rsidRPr="00116300" w:rsidRDefault="005A57E7" w:rsidP="003D0E46">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5F32ECA7" w14:textId="77777777" w:rsidR="005A57E7" w:rsidRPr="00116300" w:rsidRDefault="005A57E7" w:rsidP="003D0E46">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1,3-7</w:t>
                  </w:r>
                </w:p>
              </w:tc>
              <w:tc>
                <w:tcPr>
                  <w:tcW w:w="1857" w:type="dxa"/>
                  <w:shd w:val="clear" w:color="auto" w:fill="auto"/>
                </w:tcPr>
                <w:p w14:paraId="3FADB515" w14:textId="77777777" w:rsidR="005A57E7" w:rsidRPr="00116300" w:rsidRDefault="005A57E7" w:rsidP="003D0E46">
                  <w:pPr>
                    <w:tabs>
                      <w:tab w:val="left" w:pos="460"/>
                    </w:tabs>
                    <w:spacing w:before="120" w:after="120"/>
                    <w:ind w:right="-57"/>
                    <w:jc w:val="center"/>
                    <w:rPr>
                      <w:rFonts w:ascii="Calibri" w:hAnsi="Calibri"/>
                      <w:sz w:val="20"/>
                      <w:szCs w:val="20"/>
                    </w:rPr>
                  </w:pPr>
                  <w:r>
                    <w:rPr>
                      <w:rFonts w:ascii="Calibri" w:hAnsi="Calibri"/>
                      <w:sz w:val="20"/>
                      <w:szCs w:val="20"/>
                    </w:rPr>
                    <w:t>1-5</w:t>
                  </w:r>
                </w:p>
              </w:tc>
              <w:tc>
                <w:tcPr>
                  <w:tcW w:w="1843" w:type="dxa"/>
                </w:tcPr>
                <w:p w14:paraId="0608CE7C" w14:textId="77777777" w:rsidR="005A57E7" w:rsidRPr="00116300" w:rsidRDefault="005A57E7" w:rsidP="003D0E46">
                  <w:pPr>
                    <w:tabs>
                      <w:tab w:val="left" w:pos="460"/>
                    </w:tabs>
                    <w:spacing w:before="120" w:after="120"/>
                    <w:ind w:right="-57"/>
                    <w:jc w:val="center"/>
                    <w:rPr>
                      <w:rFonts w:ascii="Calibri" w:hAnsi="Calibri"/>
                      <w:sz w:val="20"/>
                      <w:szCs w:val="20"/>
                    </w:rPr>
                  </w:pPr>
                  <w:r>
                    <w:rPr>
                      <w:rFonts w:ascii="Calibri" w:hAnsi="Calibri"/>
                      <w:sz w:val="20"/>
                      <w:szCs w:val="20"/>
                    </w:rPr>
                    <w:t>2.1</w:t>
                  </w:r>
                </w:p>
              </w:tc>
            </w:tr>
          </w:tbl>
          <w:p w14:paraId="07C39CA6" w14:textId="77777777" w:rsidR="005A57E7" w:rsidRPr="00116300" w:rsidRDefault="005A57E7" w:rsidP="003D0E46">
            <w:pPr>
              <w:tabs>
                <w:tab w:val="center" w:pos="990"/>
                <w:tab w:val="center" w:pos="2833"/>
                <w:tab w:val="center" w:pos="4818"/>
                <w:tab w:val="center" w:pos="6660"/>
              </w:tabs>
              <w:spacing w:before="120" w:after="120"/>
              <w:ind w:left="1440" w:right="-57"/>
              <w:rPr>
                <w:rFonts w:ascii="Calibri" w:hAnsi="Calibri"/>
                <w:sz w:val="20"/>
                <w:szCs w:val="20"/>
              </w:rPr>
            </w:pPr>
          </w:p>
        </w:tc>
      </w:tr>
      <w:tr w:rsidR="005A57E7" w:rsidRPr="007C3638" w14:paraId="31100386" w14:textId="77777777" w:rsidTr="003D0E46">
        <w:tc>
          <w:tcPr>
            <w:tcW w:w="1744" w:type="dxa"/>
            <w:shd w:val="clear" w:color="auto" w:fill="auto"/>
          </w:tcPr>
          <w:p w14:paraId="75670AAA" w14:textId="77777777" w:rsidR="005A57E7" w:rsidRPr="007C3638" w:rsidRDefault="005A57E7" w:rsidP="003D0E46">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0D1123C2" w14:textId="77777777" w:rsidR="005A57E7" w:rsidRDefault="005A57E7" w:rsidP="003D0E46">
            <w:pPr>
              <w:tabs>
                <w:tab w:val="left" w:pos="460"/>
              </w:tabs>
              <w:spacing w:before="240"/>
              <w:ind w:right="-57"/>
              <w:rPr>
                <w:rFonts w:ascii="Calibri" w:hAnsi="Calibri"/>
                <w:sz w:val="20"/>
                <w:szCs w:val="20"/>
              </w:rPr>
            </w:pPr>
            <w:r w:rsidRPr="0093777A">
              <w:rPr>
                <w:rFonts w:ascii="Calibri" w:hAnsi="Calibri"/>
                <w:noProof/>
                <w:sz w:val="20"/>
                <w:szCs w:val="20"/>
              </w:rPr>
              <w:t>Sumich, K. (2013).</w:t>
            </w:r>
            <w:r w:rsidRPr="008E6725">
              <w:rPr>
                <w:rFonts w:ascii="Calibri" w:hAnsi="Calibri"/>
                <w:i/>
                <w:sz w:val="20"/>
                <w:szCs w:val="20"/>
              </w:rPr>
              <w:t xml:space="preserve"> </w:t>
            </w:r>
            <w:r w:rsidRPr="0093777A">
              <w:rPr>
                <w:rFonts w:ascii="Calibri" w:hAnsi="Calibri"/>
                <w:i/>
                <w:noProof/>
                <w:sz w:val="20"/>
                <w:szCs w:val="20"/>
              </w:rPr>
              <w:t>Coaching children: Sports science essentials.</w:t>
            </w:r>
            <w:r>
              <w:rPr>
                <w:rFonts w:ascii="Calibri" w:hAnsi="Calibri"/>
                <w:sz w:val="20"/>
                <w:szCs w:val="20"/>
              </w:rPr>
              <w:t xml:space="preserve"> </w:t>
            </w:r>
            <w:r w:rsidRPr="0093777A">
              <w:rPr>
                <w:rFonts w:ascii="Calibri" w:hAnsi="Calibri"/>
                <w:noProof/>
                <w:sz w:val="20"/>
                <w:szCs w:val="20"/>
              </w:rPr>
              <w:t>Champaign, IL.: Acer Press.</w:t>
            </w:r>
          </w:p>
          <w:p w14:paraId="659570A9" w14:textId="77777777" w:rsidR="005A57E7" w:rsidRPr="00027513" w:rsidRDefault="005A57E7" w:rsidP="003D0E46">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5A57E7" w:rsidRPr="007C3638" w14:paraId="1B211B96" w14:textId="77777777" w:rsidTr="003D0E46">
        <w:tc>
          <w:tcPr>
            <w:tcW w:w="1744" w:type="dxa"/>
            <w:shd w:val="clear" w:color="auto" w:fill="auto"/>
          </w:tcPr>
          <w:p w14:paraId="4E63F662" w14:textId="77777777" w:rsidR="005A57E7" w:rsidRPr="007C3638" w:rsidRDefault="005A57E7" w:rsidP="003D0E46">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6BEFEB1C" w14:textId="77777777" w:rsidR="005A57E7" w:rsidRDefault="005A57E7" w:rsidP="003D0E46">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6E1B8562"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Boyd, A., Bultitude, S., &amp; Wright, J. (2006).</w:t>
            </w:r>
            <w:r>
              <w:rPr>
                <w:rFonts w:ascii="Calibri" w:hAnsi="Calibri"/>
                <w:sz w:val="20"/>
                <w:szCs w:val="20"/>
              </w:rPr>
              <w:t xml:space="preserve"> </w:t>
            </w:r>
            <w:r w:rsidRPr="0093777A">
              <w:rPr>
                <w:rFonts w:ascii="Calibri" w:hAnsi="Calibri"/>
                <w:i/>
                <w:noProof/>
                <w:sz w:val="20"/>
                <w:szCs w:val="20"/>
              </w:rPr>
              <w:t>Exploring physical activity and sport.</w:t>
            </w:r>
            <w:r>
              <w:rPr>
                <w:rFonts w:ascii="Calibri" w:hAnsi="Calibri"/>
                <w:sz w:val="20"/>
                <w:szCs w:val="20"/>
              </w:rPr>
              <w:t xml:space="preserve"> </w:t>
            </w:r>
            <w:r w:rsidRPr="0093777A">
              <w:rPr>
                <w:rFonts w:ascii="Calibri" w:hAnsi="Calibri"/>
                <w:noProof/>
                <w:sz w:val="20"/>
                <w:szCs w:val="20"/>
              </w:rPr>
              <w:t>Gymea, NSW: Titan Education.</w:t>
            </w:r>
          </w:p>
          <w:p w14:paraId="30D8F651"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Cassidy, T., Jones, R., &amp; Potrac, P. (2015).</w:t>
            </w:r>
            <w:r>
              <w:rPr>
                <w:rFonts w:ascii="Calibri" w:hAnsi="Calibri"/>
                <w:sz w:val="20"/>
                <w:szCs w:val="20"/>
              </w:rPr>
              <w:t xml:space="preserve"> </w:t>
            </w:r>
            <w:r w:rsidRPr="0093777A">
              <w:rPr>
                <w:rFonts w:ascii="Calibri" w:hAnsi="Calibri"/>
                <w:i/>
                <w:noProof/>
                <w:sz w:val="20"/>
                <w:szCs w:val="20"/>
              </w:rPr>
              <w:t>Understanding sports coaching: the social, cultural and pedagogical foundations of coaching practice</w:t>
            </w:r>
            <w:r>
              <w:rPr>
                <w:rFonts w:ascii="Calibri" w:hAnsi="Calibri"/>
                <w:sz w:val="20"/>
                <w:szCs w:val="20"/>
              </w:rPr>
              <w:t xml:space="preserve"> </w:t>
            </w:r>
            <w:r w:rsidRPr="0093777A">
              <w:rPr>
                <w:rFonts w:ascii="Calibri" w:hAnsi="Calibri"/>
                <w:noProof/>
                <w:sz w:val="20"/>
                <w:szCs w:val="20"/>
              </w:rPr>
              <w:t>(3rd ed.). New York, NY: Routledge.</w:t>
            </w:r>
          </w:p>
          <w:p w14:paraId="0E6E42B1"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Fabre, L. (2006).</w:t>
            </w:r>
            <w:r>
              <w:rPr>
                <w:rFonts w:ascii="Calibri" w:hAnsi="Calibri"/>
                <w:sz w:val="20"/>
                <w:szCs w:val="20"/>
              </w:rPr>
              <w:t xml:space="preserve"> </w:t>
            </w:r>
            <w:r w:rsidRPr="0093777A">
              <w:rPr>
                <w:rFonts w:ascii="Calibri" w:hAnsi="Calibri"/>
                <w:i/>
                <w:noProof/>
                <w:sz w:val="20"/>
                <w:szCs w:val="20"/>
              </w:rPr>
              <w:t>Building balance, agility and strength for juniors in sport.</w:t>
            </w:r>
            <w:r>
              <w:rPr>
                <w:rFonts w:ascii="Calibri" w:hAnsi="Calibri"/>
                <w:sz w:val="20"/>
                <w:szCs w:val="20"/>
              </w:rPr>
              <w:t xml:space="preserve"> </w:t>
            </w:r>
            <w:r w:rsidRPr="0093777A">
              <w:rPr>
                <w:rFonts w:ascii="Calibri" w:hAnsi="Calibri"/>
                <w:noProof/>
                <w:sz w:val="20"/>
                <w:szCs w:val="20"/>
              </w:rPr>
              <w:t>Cloverdale, WA: Fabre.</w:t>
            </w:r>
          </w:p>
          <w:p w14:paraId="37013BCB"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lastRenderedPageBreak/>
              <w:t>Jones, R. (Ed.). (2006).</w:t>
            </w:r>
            <w:r>
              <w:rPr>
                <w:rFonts w:ascii="Calibri" w:hAnsi="Calibri"/>
                <w:sz w:val="20"/>
                <w:szCs w:val="20"/>
              </w:rPr>
              <w:t xml:space="preserve"> </w:t>
            </w:r>
            <w:r w:rsidRPr="0093777A">
              <w:rPr>
                <w:rFonts w:ascii="Calibri" w:hAnsi="Calibri"/>
                <w:i/>
                <w:noProof/>
                <w:sz w:val="20"/>
                <w:szCs w:val="20"/>
              </w:rPr>
              <w:t>The sports coach as educator: re-conceptualising sports coaching.</w:t>
            </w:r>
            <w:r>
              <w:rPr>
                <w:rFonts w:ascii="Calibri" w:hAnsi="Calibri"/>
                <w:sz w:val="20"/>
                <w:szCs w:val="20"/>
              </w:rPr>
              <w:t xml:space="preserve"> </w:t>
            </w:r>
            <w:r w:rsidRPr="0093777A">
              <w:rPr>
                <w:rFonts w:ascii="Calibri" w:hAnsi="Calibri"/>
                <w:noProof/>
                <w:sz w:val="20"/>
                <w:szCs w:val="20"/>
              </w:rPr>
              <w:t>New York, NY: Routledge.</w:t>
            </w:r>
          </w:p>
          <w:p w14:paraId="455FBD20"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Jones, R., &amp; Kingston, K. (Eds.). (2013).</w:t>
            </w:r>
            <w:r>
              <w:rPr>
                <w:rFonts w:ascii="Calibri" w:hAnsi="Calibri"/>
                <w:sz w:val="20"/>
                <w:szCs w:val="20"/>
              </w:rPr>
              <w:t xml:space="preserve"> </w:t>
            </w:r>
            <w:r w:rsidRPr="0093777A">
              <w:rPr>
                <w:rFonts w:ascii="Calibri" w:hAnsi="Calibri"/>
                <w:i/>
                <w:noProof/>
                <w:sz w:val="20"/>
                <w:szCs w:val="20"/>
              </w:rPr>
              <w:t>An introduction to sports coaching: connecting theory to practice.</w:t>
            </w:r>
            <w:r>
              <w:rPr>
                <w:rFonts w:ascii="Calibri" w:hAnsi="Calibri"/>
                <w:sz w:val="20"/>
                <w:szCs w:val="20"/>
              </w:rPr>
              <w:t xml:space="preserve"> </w:t>
            </w:r>
            <w:r w:rsidRPr="0093777A">
              <w:rPr>
                <w:rFonts w:ascii="Calibri" w:hAnsi="Calibri"/>
                <w:noProof/>
                <w:sz w:val="20"/>
                <w:szCs w:val="20"/>
              </w:rPr>
              <w:t>Abingdon, Oxon: Routledge.</w:t>
            </w:r>
          </w:p>
          <w:p w14:paraId="04E7616D"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Robinson, P. (2009).</w:t>
            </w:r>
            <w:r>
              <w:rPr>
                <w:rFonts w:ascii="Calibri" w:hAnsi="Calibri"/>
                <w:sz w:val="20"/>
                <w:szCs w:val="20"/>
              </w:rPr>
              <w:t xml:space="preserve"> </w:t>
            </w:r>
            <w:r w:rsidRPr="0093777A">
              <w:rPr>
                <w:rFonts w:ascii="Calibri" w:hAnsi="Calibri"/>
                <w:i/>
                <w:noProof/>
                <w:sz w:val="20"/>
                <w:szCs w:val="20"/>
              </w:rPr>
              <w:t>Foundations of sports coaching.</w:t>
            </w:r>
            <w:r>
              <w:rPr>
                <w:rFonts w:ascii="Calibri" w:hAnsi="Calibri"/>
                <w:sz w:val="20"/>
                <w:szCs w:val="20"/>
              </w:rPr>
              <w:t xml:space="preserve"> </w:t>
            </w:r>
            <w:r w:rsidRPr="0093777A">
              <w:rPr>
                <w:rFonts w:ascii="Calibri" w:hAnsi="Calibri"/>
                <w:noProof/>
                <w:sz w:val="20"/>
                <w:szCs w:val="20"/>
              </w:rPr>
              <w:t>Abingdon, Oxon: Routledge.</w:t>
            </w:r>
          </w:p>
          <w:p w14:paraId="3B913C2F"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Rook, S., &amp; Charles, T. (2013).</w:t>
            </w:r>
            <w:r>
              <w:rPr>
                <w:rFonts w:ascii="Calibri" w:hAnsi="Calibri"/>
                <w:sz w:val="20"/>
                <w:szCs w:val="20"/>
              </w:rPr>
              <w:t xml:space="preserve"> </w:t>
            </w:r>
            <w:r w:rsidRPr="0093777A">
              <w:rPr>
                <w:rFonts w:ascii="Calibri" w:hAnsi="Calibri"/>
                <w:i/>
                <w:noProof/>
                <w:sz w:val="20"/>
                <w:szCs w:val="20"/>
              </w:rPr>
              <w:t>101 multi skill sports games.</w:t>
            </w:r>
            <w:r>
              <w:rPr>
                <w:rFonts w:ascii="Calibri" w:hAnsi="Calibri"/>
                <w:sz w:val="20"/>
                <w:szCs w:val="20"/>
              </w:rPr>
              <w:t xml:space="preserve"> </w:t>
            </w:r>
            <w:r w:rsidRPr="0093777A">
              <w:rPr>
                <w:rFonts w:ascii="Calibri" w:hAnsi="Calibri"/>
                <w:noProof/>
                <w:sz w:val="20"/>
                <w:szCs w:val="20"/>
              </w:rPr>
              <w:t>London, UK: Bloomsbury Sport.</w:t>
            </w:r>
          </w:p>
          <w:p w14:paraId="4DBEA9A5"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Williams, J. (2015).</w:t>
            </w:r>
            <w:r>
              <w:rPr>
                <w:rFonts w:ascii="Calibri" w:hAnsi="Calibri"/>
                <w:sz w:val="20"/>
                <w:szCs w:val="20"/>
              </w:rPr>
              <w:t xml:space="preserve"> </w:t>
            </w:r>
            <w:r w:rsidRPr="0093777A">
              <w:rPr>
                <w:rFonts w:ascii="Calibri" w:hAnsi="Calibri"/>
                <w:i/>
                <w:noProof/>
                <w:sz w:val="20"/>
                <w:szCs w:val="20"/>
              </w:rPr>
              <w:t>Applied sport psychology: personal growth to peak performance.</w:t>
            </w:r>
            <w:r>
              <w:rPr>
                <w:rFonts w:ascii="Calibri" w:hAnsi="Calibri"/>
                <w:sz w:val="20"/>
                <w:szCs w:val="20"/>
              </w:rPr>
              <w:t xml:space="preserve"> </w:t>
            </w:r>
            <w:r w:rsidRPr="0093777A">
              <w:rPr>
                <w:rFonts w:ascii="Calibri" w:hAnsi="Calibri"/>
                <w:noProof/>
                <w:sz w:val="20"/>
                <w:szCs w:val="20"/>
              </w:rPr>
              <w:t>New York, NY: McGraw-Hill Higher Education.</w:t>
            </w:r>
          </w:p>
          <w:p w14:paraId="267EFF3A" w14:textId="77777777" w:rsidR="005A57E7" w:rsidRPr="00555317" w:rsidRDefault="005A57E7" w:rsidP="003D0E46">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Journals and Periodicals</w:t>
            </w:r>
          </w:p>
          <w:p w14:paraId="71121734" w14:textId="77777777" w:rsidR="005A57E7" w:rsidRDefault="005A57E7" w:rsidP="003D0E46">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Asia-Pacific Journal of Health, Sport &amp; Physical Education</w:t>
            </w:r>
          </w:p>
          <w:p w14:paraId="5E111C80" w14:textId="77777777" w:rsidR="005A57E7" w:rsidRPr="0010482E" w:rsidRDefault="005A57E7" w:rsidP="003D0E46">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17F4905" w14:textId="77777777" w:rsidR="005A57E7" w:rsidRPr="007C3638" w:rsidRDefault="005A57E7" w:rsidP="003D0E46">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5A57E7" w:rsidRPr="007C3638" w14:paraId="5B053C91" w14:textId="77777777" w:rsidTr="003D0E46">
        <w:tc>
          <w:tcPr>
            <w:tcW w:w="1744" w:type="dxa"/>
            <w:shd w:val="clear" w:color="auto" w:fill="auto"/>
          </w:tcPr>
          <w:p w14:paraId="602C0A01" w14:textId="77777777" w:rsidR="005A57E7" w:rsidRPr="00495D82" w:rsidRDefault="005A57E7" w:rsidP="003D0E46">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1488B144" w14:textId="77777777" w:rsidR="005A57E7" w:rsidRPr="00495D82" w:rsidRDefault="005A57E7" w:rsidP="003D0E46">
            <w:pPr>
              <w:spacing w:before="120" w:after="120"/>
              <w:ind w:right="-57"/>
              <w:rPr>
                <w:rFonts w:ascii="Calibri" w:hAnsi="Calibri"/>
                <w:sz w:val="20"/>
                <w:szCs w:val="20"/>
              </w:rPr>
            </w:pPr>
            <w:r w:rsidRPr="0093777A">
              <w:rPr>
                <w:rFonts w:ascii="Calibri" w:hAnsi="Calibri"/>
                <w:noProof/>
                <w:sz w:val="20"/>
                <w:szCs w:val="20"/>
              </w:rPr>
              <w:t>All students must participate in practical sessions using appropriate ‘sports’ attire including sports shoes and hat, bringing their own water and sunscreen.</w:t>
            </w:r>
          </w:p>
        </w:tc>
      </w:tr>
    </w:tbl>
    <w:p w14:paraId="43981FC6" w14:textId="77777777" w:rsidR="005A57E7" w:rsidRDefault="005A57E7"/>
    <w:sectPr w:rsidR="005A57E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3C28" w14:textId="77777777" w:rsidR="005A57E7" w:rsidRDefault="005A57E7" w:rsidP="005A57E7">
      <w:pPr>
        <w:spacing w:after="0" w:line="240" w:lineRule="auto"/>
      </w:pPr>
      <w:r>
        <w:separator/>
      </w:r>
    </w:p>
  </w:endnote>
  <w:endnote w:type="continuationSeparator" w:id="0">
    <w:p w14:paraId="7EEF52C3" w14:textId="77777777" w:rsidR="005A57E7" w:rsidRDefault="005A57E7" w:rsidP="005A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36E0" w14:textId="77777777" w:rsidR="00CB6AC9" w:rsidRPr="00F40809" w:rsidRDefault="00225D12" w:rsidP="00F40809">
    <w:pPr>
      <w:pStyle w:val="Footer"/>
      <w:tabs>
        <w:tab w:val="right" w:pos="15989"/>
      </w:tabs>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753C" w14:textId="77777777" w:rsidR="005A57E7" w:rsidRDefault="005A57E7" w:rsidP="005A57E7">
      <w:pPr>
        <w:spacing w:after="0" w:line="240" w:lineRule="auto"/>
      </w:pPr>
      <w:r>
        <w:separator/>
      </w:r>
    </w:p>
  </w:footnote>
  <w:footnote w:type="continuationSeparator" w:id="0">
    <w:p w14:paraId="6396539C" w14:textId="77777777" w:rsidR="005A57E7" w:rsidRDefault="005A57E7" w:rsidP="005A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E7"/>
    <w:rsid w:val="00225D12"/>
    <w:rsid w:val="005A5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3621"/>
  <w15:chartTrackingRefBased/>
  <w15:docId w15:val="{7E4FF476-28B8-49E2-9451-3F644CD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5A57E7"/>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5A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7E7"/>
  </w:style>
  <w:style w:type="paragraph" w:styleId="Footer">
    <w:name w:val="footer"/>
    <w:basedOn w:val="Normal"/>
    <w:link w:val="FooterChar"/>
    <w:uiPriority w:val="99"/>
    <w:unhideWhenUsed/>
    <w:qFormat/>
    <w:rsid w:val="005A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7E7"/>
  </w:style>
  <w:style w:type="paragraph" w:styleId="ListParagraph">
    <w:name w:val="List Paragraph"/>
    <w:basedOn w:val="Normal"/>
    <w:uiPriority w:val="34"/>
    <w:qFormat/>
    <w:rsid w:val="005A57E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7" ma:contentTypeDescription="Create a new document." ma:contentTypeScope="" ma:versionID="4a0c63fcd76996398c2a7986270c2c9f">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869759d20ec909ada7b9f5871c593175"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C1293-26C0-4981-8941-C8B76FD1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420ED-B4DC-4417-BE38-C1B41503B695}">
  <ds:schemaRefs>
    <ds:schemaRef ds:uri="http://schemas.microsoft.com/sharepoint/v3/contenttype/forms"/>
  </ds:schemaRefs>
</ds:datastoreItem>
</file>

<file path=customXml/itemProps3.xml><?xml version="1.0" encoding="utf-8"?>
<ds:datastoreItem xmlns:ds="http://schemas.openxmlformats.org/officeDocument/2006/customXml" ds:itemID="{42532B8A-EE5B-4759-87DA-0E168B692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2</cp:revision>
  <dcterms:created xsi:type="dcterms:W3CDTF">2020-05-12T05:19:00Z</dcterms:created>
  <dcterms:modified xsi:type="dcterms:W3CDTF">2020-05-12T05:19:00Z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