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C396" w14:textId="45BBB8C4" w:rsidR="000C73E1" w:rsidRDefault="000C73E1" w:rsidP="000C73E1">
      <w:pPr>
        <w:tabs>
          <w:tab w:val="left" w:pos="1110"/>
        </w:tabs>
      </w:pPr>
    </w:p>
    <w:p w14:paraId="49D4E679" w14:textId="77777777" w:rsidR="000C73E1" w:rsidRPr="007C3638" w:rsidRDefault="000C73E1" w:rsidP="000C73E1"/>
    <w:p w14:paraId="079A9E8E" w14:textId="77777777" w:rsidR="000C73E1" w:rsidRPr="007C3638" w:rsidRDefault="000C73E1" w:rsidP="000C73E1">
      <w:r>
        <w:rPr>
          <w:noProof/>
        </w:rPr>
        <w:drawing>
          <wp:anchor distT="0" distB="0" distL="114300" distR="114300" simplePos="0" relativeHeight="251659264" behindDoc="1" locked="0" layoutInCell="1" allowOverlap="1" wp14:anchorId="510246B3" wp14:editId="5F5F177E">
            <wp:simplePos x="0" y="0"/>
            <wp:positionH relativeFrom="margin">
              <wp:posOffset>-114300</wp:posOffset>
            </wp:positionH>
            <wp:positionV relativeFrom="paragraph">
              <wp:posOffset>-322580</wp:posOffset>
            </wp:positionV>
            <wp:extent cx="5731510" cy="81070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51C164F5" w14:textId="77777777" w:rsidR="000C73E1" w:rsidRPr="007C3638" w:rsidRDefault="000C73E1" w:rsidP="000C73E1"/>
    <w:p w14:paraId="034AEDC3" w14:textId="77777777" w:rsidR="000C73E1" w:rsidRPr="007C3638" w:rsidRDefault="000C73E1" w:rsidP="000C73E1"/>
    <w:p w14:paraId="6C9014C0" w14:textId="77777777" w:rsidR="000C73E1" w:rsidRPr="007C3638" w:rsidRDefault="000C73E1" w:rsidP="000C73E1"/>
    <w:p w14:paraId="6E78EB75" w14:textId="77777777" w:rsidR="000C73E1" w:rsidRPr="007C3638" w:rsidRDefault="000C73E1" w:rsidP="000C73E1"/>
    <w:p w14:paraId="2FEDD307" w14:textId="77777777" w:rsidR="000C73E1" w:rsidRPr="007C3638" w:rsidRDefault="000C73E1" w:rsidP="000C73E1"/>
    <w:p w14:paraId="51C58032" w14:textId="77777777" w:rsidR="000C73E1" w:rsidRPr="007C3638" w:rsidRDefault="000C73E1" w:rsidP="000C73E1"/>
    <w:p w14:paraId="20D3D109" w14:textId="77777777" w:rsidR="000C73E1" w:rsidRPr="007C3638" w:rsidRDefault="000C73E1" w:rsidP="000C73E1">
      <w:pPr>
        <w:spacing w:before="175" w:line="636" w:lineRule="exact"/>
        <w:jc w:val="center"/>
        <w:textAlignment w:val="baseline"/>
        <w:rPr>
          <w:rFonts w:ascii="Arial" w:eastAsia="Arial" w:hAnsi="Arial"/>
          <w:b/>
          <w:color w:val="000000"/>
          <w:spacing w:val="-1"/>
          <w:sz w:val="56"/>
        </w:rPr>
      </w:pPr>
    </w:p>
    <w:p w14:paraId="79071C0F" w14:textId="77777777" w:rsidR="000C73E1" w:rsidRDefault="000C73E1" w:rsidP="000C73E1">
      <w:pPr>
        <w:tabs>
          <w:tab w:val="left" w:pos="3765"/>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20CC6AD4" w14:textId="77777777" w:rsidR="000C73E1"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p>
    <w:p w14:paraId="5D2B18C3" w14:textId="77777777" w:rsidR="000C73E1"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p>
    <w:p w14:paraId="5961D132" w14:textId="77777777" w:rsidR="000C73E1"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p>
    <w:p w14:paraId="18A35BA2" w14:textId="77777777" w:rsidR="000C73E1"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p>
    <w:p w14:paraId="4DFF21FA" w14:textId="77777777" w:rsidR="000C73E1" w:rsidRPr="007C3638" w:rsidRDefault="000C73E1" w:rsidP="000C73E1">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MT110</w:t>
      </w:r>
    </w:p>
    <w:p w14:paraId="4FC762A3" w14:textId="77777777" w:rsidR="000C73E1" w:rsidRDefault="000C73E1" w:rsidP="000C73E1">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Foundations of Mathematics</w:t>
      </w:r>
    </w:p>
    <w:p w14:paraId="2F1FF9DB" w14:textId="77777777" w:rsidR="000C73E1" w:rsidRPr="00302CB8"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1</w:t>
      </w:r>
    </w:p>
    <w:p w14:paraId="78C11CF3" w14:textId="77777777" w:rsidR="000C73E1" w:rsidRPr="00302CB8" w:rsidRDefault="000C73E1" w:rsidP="000C73E1">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238080AD" w14:textId="77777777" w:rsidR="000C73E1" w:rsidRPr="007C3638" w:rsidRDefault="000C73E1" w:rsidP="000C73E1">
      <w:pPr>
        <w:spacing w:before="175" w:line="636" w:lineRule="exact"/>
        <w:ind w:left="1440" w:firstLine="720"/>
        <w:textAlignment w:val="baseline"/>
        <w:rPr>
          <w:rFonts w:eastAsia="Arial" w:cstheme="minorHAnsi"/>
          <w:b/>
          <w:color w:val="000000"/>
          <w:spacing w:val="-1"/>
          <w:sz w:val="32"/>
          <w:szCs w:val="32"/>
        </w:rPr>
      </w:pPr>
    </w:p>
    <w:p w14:paraId="13D543FE" w14:textId="77777777" w:rsidR="000C73E1" w:rsidRDefault="000C73E1" w:rsidP="000C73E1">
      <w:pPr>
        <w:spacing w:before="175" w:line="636" w:lineRule="exact"/>
        <w:ind w:left="1440" w:firstLine="720"/>
        <w:textAlignment w:val="baseline"/>
        <w:rPr>
          <w:rFonts w:eastAsia="Arial" w:cstheme="minorHAnsi"/>
          <w:b/>
          <w:color w:val="000000"/>
          <w:spacing w:val="-1"/>
          <w:sz w:val="32"/>
          <w:szCs w:val="32"/>
        </w:rPr>
      </w:pPr>
    </w:p>
    <w:p w14:paraId="779E2443" w14:textId="77777777" w:rsidR="000C73E1" w:rsidRPr="007C3638" w:rsidRDefault="000C73E1" w:rsidP="000C73E1">
      <w:pPr>
        <w:spacing w:before="175" w:line="636" w:lineRule="exact"/>
        <w:ind w:left="1440" w:firstLine="720"/>
        <w:textAlignment w:val="baseline"/>
        <w:rPr>
          <w:rFonts w:eastAsia="Arial" w:cstheme="minorHAnsi"/>
          <w:b/>
          <w:color w:val="000000"/>
          <w:spacing w:val="-1"/>
          <w:sz w:val="32"/>
          <w:szCs w:val="32"/>
        </w:rPr>
      </w:pP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0C73E1" w:rsidRPr="007C3638" w14:paraId="60486AF8" w14:textId="77777777" w:rsidTr="003D0E46">
        <w:tc>
          <w:tcPr>
            <w:tcW w:w="1744" w:type="dxa"/>
            <w:shd w:val="clear" w:color="auto" w:fill="auto"/>
          </w:tcPr>
          <w:p w14:paraId="08E21900"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Unit code</w:t>
            </w:r>
          </w:p>
        </w:tc>
        <w:tc>
          <w:tcPr>
            <w:tcW w:w="7959" w:type="dxa"/>
            <w:shd w:val="clear" w:color="auto" w:fill="auto"/>
          </w:tcPr>
          <w:p w14:paraId="64E5D5D0" w14:textId="77777777" w:rsidR="000C73E1" w:rsidRPr="00AB3A1B" w:rsidRDefault="000C73E1" w:rsidP="003D0E46">
            <w:pPr>
              <w:spacing w:before="120" w:after="120"/>
              <w:ind w:right="-57"/>
              <w:rPr>
                <w:rFonts w:ascii="Calibri" w:hAnsi="Calibri"/>
                <w:b/>
                <w:sz w:val="20"/>
                <w:szCs w:val="20"/>
              </w:rPr>
            </w:pPr>
            <w:r w:rsidRPr="0093777A">
              <w:rPr>
                <w:rFonts w:ascii="Calibri" w:hAnsi="Calibri"/>
                <w:b/>
                <w:noProof/>
                <w:sz w:val="20"/>
                <w:szCs w:val="20"/>
              </w:rPr>
              <w:t>MT110</w:t>
            </w:r>
          </w:p>
        </w:tc>
      </w:tr>
      <w:tr w:rsidR="000C73E1" w:rsidRPr="007C3638" w14:paraId="4BABCFFB" w14:textId="77777777" w:rsidTr="003D0E46">
        <w:tc>
          <w:tcPr>
            <w:tcW w:w="1744" w:type="dxa"/>
            <w:shd w:val="clear" w:color="auto" w:fill="auto"/>
          </w:tcPr>
          <w:p w14:paraId="553CA733"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12E73A14" w14:textId="77777777" w:rsidR="000C73E1" w:rsidRPr="00AB3A1B" w:rsidRDefault="000C73E1" w:rsidP="003D0E46">
            <w:pPr>
              <w:spacing w:before="120" w:after="120"/>
              <w:ind w:right="-57"/>
              <w:rPr>
                <w:rFonts w:ascii="Calibri" w:hAnsi="Calibri"/>
                <w:b/>
                <w:sz w:val="20"/>
                <w:szCs w:val="20"/>
              </w:rPr>
            </w:pPr>
            <w:r w:rsidRPr="0093777A">
              <w:rPr>
                <w:rFonts w:ascii="Calibri" w:hAnsi="Calibri"/>
                <w:b/>
                <w:noProof/>
                <w:sz w:val="20"/>
                <w:szCs w:val="20"/>
              </w:rPr>
              <w:t>Foundations of Mathematics</w:t>
            </w:r>
          </w:p>
        </w:tc>
      </w:tr>
      <w:tr w:rsidR="000C73E1" w:rsidRPr="007C3638" w14:paraId="72EBD4DE" w14:textId="77777777" w:rsidTr="003D0E46">
        <w:tc>
          <w:tcPr>
            <w:tcW w:w="1744" w:type="dxa"/>
            <w:shd w:val="clear" w:color="auto" w:fill="auto"/>
          </w:tcPr>
          <w:p w14:paraId="1956AB4D"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2CF657A8" w14:textId="77777777" w:rsidR="000C73E1" w:rsidRDefault="000C73E1" w:rsidP="003D0E46">
            <w:pPr>
              <w:spacing w:before="120" w:after="120"/>
              <w:ind w:right="-57"/>
              <w:rPr>
                <w:sz w:val="20"/>
                <w:szCs w:val="20"/>
              </w:rPr>
            </w:pPr>
            <w:r w:rsidRPr="0093777A">
              <w:rPr>
                <w:noProof/>
                <w:sz w:val="20"/>
                <w:szCs w:val="20"/>
              </w:rPr>
              <w:t>Bachelor of Education (Primary)</w:t>
            </w:r>
          </w:p>
          <w:p w14:paraId="018D81BB" w14:textId="77777777" w:rsidR="000C73E1" w:rsidRDefault="000C73E1" w:rsidP="003D0E46">
            <w:pPr>
              <w:spacing w:after="120"/>
              <w:ind w:right="-57"/>
              <w:rPr>
                <w:sz w:val="20"/>
                <w:szCs w:val="20"/>
              </w:rPr>
            </w:pPr>
            <w:r w:rsidRPr="0093777A">
              <w:rPr>
                <w:noProof/>
                <w:sz w:val="20"/>
                <w:szCs w:val="20"/>
              </w:rPr>
              <w:t>Bachelor of Education (Secondary)</w:t>
            </w:r>
          </w:p>
          <w:p w14:paraId="2CB6912A" w14:textId="77777777" w:rsidR="000C73E1" w:rsidRPr="007C3638" w:rsidRDefault="000C73E1" w:rsidP="003D0E46">
            <w:pPr>
              <w:spacing w:after="120"/>
              <w:ind w:right="-57"/>
              <w:rPr>
                <w:sz w:val="20"/>
                <w:szCs w:val="20"/>
              </w:rPr>
            </w:pPr>
            <w:r w:rsidRPr="0093777A">
              <w:rPr>
                <w:noProof/>
                <w:sz w:val="20"/>
                <w:szCs w:val="20"/>
              </w:rPr>
              <w:t>Bachelor of Arts/Bachelor of Education (Secondary)</w:t>
            </w:r>
          </w:p>
        </w:tc>
      </w:tr>
      <w:tr w:rsidR="000C73E1" w:rsidRPr="007C3638" w14:paraId="40CB439D" w14:textId="77777777" w:rsidTr="003D0E46">
        <w:tc>
          <w:tcPr>
            <w:tcW w:w="1744" w:type="dxa"/>
            <w:shd w:val="clear" w:color="auto" w:fill="auto"/>
          </w:tcPr>
          <w:p w14:paraId="5C524178"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5AA681B8" w14:textId="77777777" w:rsidR="000C73E1" w:rsidRPr="007C3638" w:rsidRDefault="000C73E1" w:rsidP="003D0E46">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0C73E1" w:rsidRPr="007C3638" w14:paraId="4FCE0398" w14:textId="77777777" w:rsidTr="003D0E46">
        <w:tc>
          <w:tcPr>
            <w:tcW w:w="1744" w:type="dxa"/>
            <w:shd w:val="clear" w:color="auto" w:fill="auto"/>
          </w:tcPr>
          <w:p w14:paraId="50EDBAB9"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4B211922" w14:textId="77777777" w:rsidR="000C73E1" w:rsidRPr="007C3638" w:rsidRDefault="000C73E1" w:rsidP="003D0E46">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0C73E1" w:rsidRPr="007C3638" w14:paraId="75E59DD2" w14:textId="77777777" w:rsidTr="003D0E46">
        <w:tc>
          <w:tcPr>
            <w:tcW w:w="1744" w:type="dxa"/>
            <w:shd w:val="clear" w:color="auto" w:fill="auto"/>
          </w:tcPr>
          <w:p w14:paraId="2D6CBAAF"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3F428498" w14:textId="77777777" w:rsidR="000C73E1" w:rsidRPr="007C3638" w:rsidRDefault="000C73E1" w:rsidP="003D0E46">
            <w:pPr>
              <w:spacing w:before="120" w:after="120"/>
              <w:ind w:right="-57"/>
              <w:rPr>
                <w:rFonts w:ascii="Calibri" w:hAnsi="Calibri"/>
                <w:sz w:val="20"/>
                <w:szCs w:val="20"/>
              </w:rPr>
            </w:pPr>
            <w:r w:rsidRPr="0093777A">
              <w:rPr>
                <w:noProof/>
                <w:sz w:val="20"/>
                <w:szCs w:val="20"/>
              </w:rPr>
              <w:t>Karen du Plessis</w:t>
            </w:r>
          </w:p>
        </w:tc>
      </w:tr>
      <w:tr w:rsidR="000C73E1" w:rsidRPr="007C3638" w14:paraId="115D647E" w14:textId="77777777" w:rsidTr="003D0E46">
        <w:tc>
          <w:tcPr>
            <w:tcW w:w="1744" w:type="dxa"/>
            <w:shd w:val="clear" w:color="auto" w:fill="auto"/>
          </w:tcPr>
          <w:p w14:paraId="04E482FE"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4D820DEF" w14:textId="77777777" w:rsidR="000C73E1" w:rsidRPr="007C3638" w:rsidRDefault="000C73E1" w:rsidP="003D0E46">
            <w:pPr>
              <w:spacing w:before="120" w:after="120"/>
              <w:ind w:right="-57"/>
              <w:rPr>
                <w:rFonts w:ascii="Calibri" w:hAnsi="Calibri"/>
                <w:sz w:val="20"/>
                <w:szCs w:val="20"/>
              </w:rPr>
            </w:pPr>
            <w:r w:rsidRPr="0093777A">
              <w:rPr>
                <w:rFonts w:ascii="Calibri" w:hAnsi="Calibri"/>
                <w:noProof/>
                <w:sz w:val="20"/>
                <w:szCs w:val="20"/>
              </w:rPr>
              <w:t>Required for a minor in Mathematics</w:t>
            </w:r>
          </w:p>
        </w:tc>
      </w:tr>
      <w:tr w:rsidR="000C73E1" w:rsidRPr="007C3638" w14:paraId="4822258C" w14:textId="77777777" w:rsidTr="003D0E46">
        <w:tc>
          <w:tcPr>
            <w:tcW w:w="1744" w:type="dxa"/>
            <w:shd w:val="clear" w:color="auto" w:fill="auto"/>
          </w:tcPr>
          <w:p w14:paraId="46E4E102" w14:textId="77777777" w:rsidR="000C73E1" w:rsidRPr="008E6725" w:rsidRDefault="000C73E1" w:rsidP="003D0E46">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5598DC26" w14:textId="77777777" w:rsidR="000C73E1" w:rsidRPr="008E6725" w:rsidRDefault="000C73E1" w:rsidP="003D0E46">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64427026" w14:textId="77777777" w:rsidR="000C73E1" w:rsidRPr="008E6725" w:rsidRDefault="000C73E1" w:rsidP="003D0E46">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63D5538B" w14:textId="77777777" w:rsidR="000C73E1" w:rsidRPr="008E6725" w:rsidRDefault="000C73E1" w:rsidP="003D0E46">
            <w:pPr>
              <w:tabs>
                <w:tab w:val="left" w:pos="1986"/>
              </w:tabs>
              <w:spacing w:before="120"/>
              <w:ind w:left="1986" w:right="-57"/>
              <w:rPr>
                <w:sz w:val="20"/>
                <w:szCs w:val="20"/>
              </w:rPr>
            </w:pPr>
            <w:r w:rsidRPr="0093777A">
              <w:rPr>
                <w:noProof/>
                <w:sz w:val="20"/>
                <w:szCs w:val="20"/>
              </w:rPr>
              <w:t>320 - Bachelor of Education (Secondary)</w:t>
            </w:r>
          </w:p>
          <w:p w14:paraId="09F2F15D" w14:textId="77777777" w:rsidR="000C73E1" w:rsidRPr="008E6725" w:rsidRDefault="000C73E1" w:rsidP="003D0E46">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0C73E1" w:rsidRPr="007C3638" w14:paraId="0824B7EB" w14:textId="77777777" w:rsidTr="003D0E46">
        <w:tc>
          <w:tcPr>
            <w:tcW w:w="1744" w:type="dxa"/>
            <w:shd w:val="clear" w:color="auto" w:fill="auto"/>
          </w:tcPr>
          <w:p w14:paraId="61073E81" w14:textId="77777777" w:rsidR="000C73E1" w:rsidRPr="007C3638" w:rsidRDefault="000C73E1" w:rsidP="003D0E46">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6DF5C21D" w14:textId="77777777" w:rsidR="000C73E1" w:rsidRPr="007C3638" w:rsidRDefault="000C73E1" w:rsidP="003D0E46">
            <w:pPr>
              <w:spacing w:before="120" w:after="120"/>
              <w:ind w:right="-57"/>
              <w:rPr>
                <w:rFonts w:eastAsia="Calibri" w:cs="Times New Roman"/>
                <w:noProof/>
                <w:sz w:val="20"/>
                <w:szCs w:val="20"/>
              </w:rPr>
            </w:pPr>
            <w:r w:rsidRPr="0093777A">
              <w:rPr>
                <w:rFonts w:eastAsia="Calibri" w:cs="Times New Roman"/>
                <w:noProof/>
                <w:sz w:val="20"/>
                <w:szCs w:val="20"/>
              </w:rPr>
              <w:t>Face-to-face</w:t>
            </w:r>
          </w:p>
        </w:tc>
      </w:tr>
      <w:tr w:rsidR="000C73E1" w:rsidRPr="007C3638" w14:paraId="2437B851" w14:textId="77777777" w:rsidTr="003D0E46">
        <w:trPr>
          <w:trHeight w:val="270"/>
        </w:trPr>
        <w:tc>
          <w:tcPr>
            <w:tcW w:w="1744" w:type="dxa"/>
            <w:vMerge w:val="restart"/>
            <w:shd w:val="clear" w:color="auto" w:fill="auto"/>
          </w:tcPr>
          <w:p w14:paraId="03B05CB6" w14:textId="77777777" w:rsidR="000C73E1" w:rsidRPr="008E6725" w:rsidRDefault="000C73E1" w:rsidP="003D0E46">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1FE15749" w14:textId="77777777" w:rsidR="000C73E1" w:rsidRPr="008E6725" w:rsidRDefault="000C73E1" w:rsidP="003D0E46">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22DE4298" w14:textId="77777777" w:rsidR="000C73E1" w:rsidRPr="008E6725" w:rsidRDefault="000C73E1" w:rsidP="003D0E4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43AD881A" w14:textId="77777777" w:rsidR="000C73E1" w:rsidRPr="008E6725" w:rsidRDefault="000C73E1" w:rsidP="003D0E46">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734B20D6" w14:textId="77777777" w:rsidR="000C73E1" w:rsidRPr="008E6725" w:rsidRDefault="000C73E1" w:rsidP="003D0E46">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0C73E1" w:rsidRPr="007C3638" w14:paraId="29156690" w14:textId="77777777" w:rsidTr="003D0E46">
        <w:tc>
          <w:tcPr>
            <w:tcW w:w="1744" w:type="dxa"/>
            <w:vMerge/>
            <w:shd w:val="clear" w:color="auto" w:fill="auto"/>
          </w:tcPr>
          <w:p w14:paraId="08A6B799" w14:textId="77777777" w:rsidR="000C73E1" w:rsidRPr="007C3638" w:rsidRDefault="000C73E1" w:rsidP="003D0E46">
            <w:pPr>
              <w:spacing w:before="120" w:after="120"/>
              <w:ind w:right="-57"/>
              <w:rPr>
                <w:rFonts w:ascii="Calibri" w:hAnsi="Calibri"/>
                <w:b/>
                <w:sz w:val="20"/>
                <w:szCs w:val="20"/>
              </w:rPr>
            </w:pPr>
          </w:p>
        </w:tc>
        <w:tc>
          <w:tcPr>
            <w:tcW w:w="7959" w:type="dxa"/>
            <w:shd w:val="clear" w:color="auto" w:fill="auto"/>
          </w:tcPr>
          <w:p w14:paraId="7EDE1696" w14:textId="77777777" w:rsidR="000C73E1" w:rsidRPr="007C3638" w:rsidRDefault="000C73E1" w:rsidP="003D0E46">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0C73E1" w:rsidRPr="007C3638" w14:paraId="0CBC3FE7" w14:textId="77777777" w:rsidTr="003D0E46">
        <w:tc>
          <w:tcPr>
            <w:tcW w:w="1744" w:type="dxa"/>
            <w:shd w:val="clear" w:color="auto" w:fill="auto"/>
          </w:tcPr>
          <w:p w14:paraId="350C75B5" w14:textId="77777777" w:rsidR="000C73E1" w:rsidRPr="007C3638" w:rsidRDefault="000C73E1" w:rsidP="003D0E46">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3A0C80F6" w14:textId="77777777" w:rsidR="000C73E1" w:rsidRPr="007C3638" w:rsidRDefault="000C73E1" w:rsidP="003D0E46">
            <w:pPr>
              <w:spacing w:before="120" w:after="120"/>
              <w:ind w:right="-57"/>
              <w:rPr>
                <w:rFonts w:ascii="Calibri" w:hAnsi="Calibri"/>
                <w:sz w:val="20"/>
                <w:szCs w:val="20"/>
              </w:rPr>
            </w:pPr>
            <w:r w:rsidRPr="0093777A">
              <w:rPr>
                <w:rFonts w:ascii="Calibri" w:hAnsi="Calibri"/>
                <w:noProof/>
                <w:sz w:val="20"/>
                <w:szCs w:val="20"/>
              </w:rPr>
              <w:t>Nil.</w:t>
            </w:r>
          </w:p>
        </w:tc>
      </w:tr>
      <w:tr w:rsidR="000C73E1" w:rsidRPr="007C3638" w14:paraId="29824E38" w14:textId="77777777" w:rsidTr="003D0E46">
        <w:tc>
          <w:tcPr>
            <w:tcW w:w="1744" w:type="dxa"/>
            <w:shd w:val="clear" w:color="auto" w:fill="auto"/>
          </w:tcPr>
          <w:p w14:paraId="2CEC2EED" w14:textId="77777777" w:rsidR="000C73E1" w:rsidRPr="007C3638" w:rsidRDefault="000C73E1" w:rsidP="003D0E46">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7BD101CD" w14:textId="77777777" w:rsidR="000C73E1" w:rsidRPr="00AB3A1B" w:rsidRDefault="000C73E1" w:rsidP="003D0E46">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1C3F0F29" w14:textId="77777777" w:rsidR="000C73E1" w:rsidRPr="0093777A" w:rsidRDefault="000C73E1" w:rsidP="003D0E46">
            <w:pPr>
              <w:spacing w:before="120" w:after="120"/>
              <w:rPr>
                <w:rFonts w:ascii="Calibri" w:hAnsi="Calibri"/>
                <w:noProof/>
                <w:sz w:val="20"/>
                <w:szCs w:val="20"/>
              </w:rPr>
            </w:pPr>
            <w:r w:rsidRPr="0093777A">
              <w:rPr>
                <w:rFonts w:ascii="Calibri" w:hAnsi="Calibri"/>
                <w:noProof/>
                <w:sz w:val="20"/>
                <w:szCs w:val="20"/>
              </w:rPr>
              <w:t xml:space="preserve">This unit covers important basic concepts in algebra and trigonometry that a tertiary student is expected to master to undertake advanced mathematical concepts, such as calculus. Emphasis is placed on developing strong foundation mathematical skills in the areas including: polynomial, rational, exponential, logarithmic and trigonometric functions. The unit also covers topics of analytical geometry, matrices, sequences and statistics. </w:t>
            </w:r>
          </w:p>
          <w:p w14:paraId="3A354AC6" w14:textId="77777777" w:rsidR="000C73E1" w:rsidRPr="007E4D66" w:rsidRDefault="000C73E1" w:rsidP="003D0E46">
            <w:pPr>
              <w:spacing w:before="120" w:after="120"/>
            </w:pPr>
            <w:r w:rsidRPr="0093777A">
              <w:rPr>
                <w:rFonts w:ascii="Calibri" w:hAnsi="Calibri"/>
                <w:noProof/>
                <w:sz w:val="20"/>
                <w:szCs w:val="20"/>
              </w:rPr>
              <w:lastRenderedPageBreak/>
              <w:t>This course prepares future teachers by equipping them with a strong foundation of skills relating to a range of mathematical concepts that are needed in higher mathematics. Students will also investigate ways mathematics reveals the order of God’s creation.</w:t>
            </w:r>
          </w:p>
        </w:tc>
      </w:tr>
      <w:tr w:rsidR="000C73E1" w:rsidRPr="007C3638" w14:paraId="1061314A" w14:textId="77777777" w:rsidTr="003D0E46">
        <w:tc>
          <w:tcPr>
            <w:tcW w:w="1744" w:type="dxa"/>
            <w:shd w:val="clear" w:color="auto" w:fill="auto"/>
          </w:tcPr>
          <w:p w14:paraId="06FF8E58" w14:textId="77777777" w:rsidR="000C73E1" w:rsidRPr="007C3638" w:rsidRDefault="000C73E1"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Learning delivery process</w:t>
            </w:r>
          </w:p>
        </w:tc>
        <w:tc>
          <w:tcPr>
            <w:tcW w:w="7959" w:type="dxa"/>
            <w:shd w:val="clear" w:color="auto" w:fill="auto"/>
          </w:tcPr>
          <w:p w14:paraId="15046AD6" w14:textId="77777777" w:rsidR="000C73E1" w:rsidRDefault="000C73E1" w:rsidP="003D0E46">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6583554D" w14:textId="77777777" w:rsidR="000C73E1" w:rsidRPr="00141FC5" w:rsidRDefault="000C73E1" w:rsidP="003D0E46">
            <w:pPr>
              <w:spacing w:before="120" w:after="120"/>
              <w:ind w:right="-57"/>
              <w:rPr>
                <w:rFonts w:ascii="Calibri" w:hAnsi="Calibri" w:cs="Calibri"/>
                <w:b/>
                <w:sz w:val="20"/>
              </w:rPr>
            </w:pPr>
            <w:r w:rsidRPr="00141FC5">
              <w:rPr>
                <w:rFonts w:ascii="Calibri" w:hAnsi="Calibri" w:cs="Calibri"/>
                <w:b/>
                <w:sz w:val="20"/>
              </w:rPr>
              <w:t>On-Campus mode</w:t>
            </w:r>
          </w:p>
          <w:p w14:paraId="7A6C68B3" w14:textId="77777777" w:rsidR="000C73E1" w:rsidRDefault="000C73E1" w:rsidP="000C73E1">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2BF9934A" w14:textId="77777777" w:rsidR="000C73E1" w:rsidRDefault="000C73E1" w:rsidP="000C73E1">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209445E4" w14:textId="77777777" w:rsidR="000C73E1" w:rsidRDefault="000C73E1" w:rsidP="003D0E46">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734A04A8" w14:textId="77777777" w:rsidR="000C73E1" w:rsidRDefault="000C73E1" w:rsidP="003D0E46">
            <w:pPr>
              <w:spacing w:before="120" w:after="120"/>
              <w:ind w:right="-57"/>
              <w:rPr>
                <w:rFonts w:ascii="Calibri" w:hAnsi="Calibri" w:cs="Calibri"/>
              </w:rPr>
            </w:pPr>
            <w:r>
              <w:rPr>
                <w:rFonts w:ascii="Calibri" w:hAnsi="Calibri" w:cs="Calibri"/>
                <w:b/>
                <w:bCs/>
                <w:sz w:val="20"/>
                <w:szCs w:val="20"/>
              </w:rPr>
              <w:t>On-line mode</w:t>
            </w:r>
          </w:p>
          <w:p w14:paraId="79A19026" w14:textId="77777777" w:rsidR="000C73E1" w:rsidRDefault="000C73E1" w:rsidP="000C73E1">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4623EA08" w14:textId="77777777" w:rsidR="000C73E1" w:rsidRDefault="000C73E1" w:rsidP="000C73E1">
            <w:pPr>
              <w:numPr>
                <w:ilvl w:val="1"/>
                <w:numId w:val="2"/>
              </w:numPr>
              <w:spacing w:after="0"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6AD601DB" w14:textId="77777777" w:rsidR="000C73E1" w:rsidRDefault="000C73E1" w:rsidP="003D0E46">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2F121D4E"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64FAFECB"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0C0D9A33"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00E151F3"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5F118C53"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3F413D12" w14:textId="77777777" w:rsidR="000C73E1" w:rsidRPr="004545F8" w:rsidRDefault="000C73E1" w:rsidP="000C73E1">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44D0B694" w14:textId="77777777" w:rsidR="000C73E1" w:rsidRPr="004545F8" w:rsidRDefault="000C73E1" w:rsidP="003D0E46">
            <w:pPr>
              <w:spacing w:line="252" w:lineRule="auto"/>
              <w:ind w:left="720"/>
              <w:rPr>
                <w:rFonts w:eastAsia="Times New Roman" w:cs="Calibri"/>
              </w:rPr>
            </w:pPr>
          </w:p>
          <w:p w14:paraId="15F919D8" w14:textId="77777777" w:rsidR="000C73E1" w:rsidRPr="005B1564" w:rsidRDefault="000C73E1" w:rsidP="003D0E46">
            <w:pPr>
              <w:spacing w:after="120"/>
              <w:rPr>
                <w:rFonts w:eastAsia="Times New Roman"/>
              </w:rPr>
            </w:pPr>
            <w:r w:rsidRPr="008E6725">
              <w:rPr>
                <w:sz w:val="20"/>
              </w:rPr>
              <w:t>All unit outlines are reviewed prior to the offering of the unit to take account of student and lecturer feedback.</w:t>
            </w:r>
          </w:p>
        </w:tc>
      </w:tr>
      <w:tr w:rsidR="000C73E1" w:rsidRPr="007C3638" w14:paraId="1BF5E147" w14:textId="77777777" w:rsidTr="003D0E46">
        <w:tc>
          <w:tcPr>
            <w:tcW w:w="1744" w:type="dxa"/>
            <w:shd w:val="clear" w:color="auto" w:fill="auto"/>
          </w:tcPr>
          <w:p w14:paraId="7BAC91BC" w14:textId="77777777" w:rsidR="000C73E1" w:rsidRPr="007C3638" w:rsidRDefault="000C73E1" w:rsidP="003D0E46">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t>Content</w:t>
            </w:r>
          </w:p>
        </w:tc>
        <w:tc>
          <w:tcPr>
            <w:tcW w:w="7959" w:type="dxa"/>
            <w:shd w:val="clear" w:color="auto" w:fill="auto"/>
          </w:tcPr>
          <w:p w14:paraId="265FDFCC" w14:textId="77777777" w:rsidR="000C73E1" w:rsidRDefault="000C73E1" w:rsidP="003D0E46">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Algebra.</w:t>
            </w:r>
          </w:p>
          <w:p w14:paraId="47194A62" w14:textId="77777777" w:rsidR="000C73E1" w:rsidRDefault="000C73E1" w:rsidP="003D0E46">
            <w:pPr>
              <w:spacing w:before="120"/>
              <w:ind w:left="445" w:right="-57" w:hanging="425"/>
              <w:rPr>
                <w:sz w:val="20"/>
                <w:szCs w:val="20"/>
              </w:rPr>
            </w:pPr>
          </w:p>
          <w:p w14:paraId="30477110" w14:textId="77777777" w:rsidR="000C73E1" w:rsidRDefault="000C73E1" w:rsidP="003D0E46">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Trigonometry.</w:t>
            </w:r>
          </w:p>
          <w:p w14:paraId="3FC93606" w14:textId="77777777" w:rsidR="000C73E1" w:rsidRDefault="000C73E1" w:rsidP="003D0E46">
            <w:pPr>
              <w:tabs>
                <w:tab w:val="left" w:pos="2268"/>
              </w:tabs>
              <w:ind w:left="423" w:right="-57" w:hanging="423"/>
              <w:rPr>
                <w:b/>
                <w:sz w:val="20"/>
                <w:szCs w:val="20"/>
              </w:rPr>
            </w:pPr>
          </w:p>
          <w:p w14:paraId="252A5B66" w14:textId="77777777" w:rsidR="000C73E1" w:rsidRDefault="000C73E1" w:rsidP="003D0E46">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Functions.</w:t>
            </w:r>
          </w:p>
          <w:p w14:paraId="65011C03" w14:textId="77777777" w:rsidR="000C73E1" w:rsidRDefault="000C73E1" w:rsidP="003D0E46">
            <w:pPr>
              <w:tabs>
                <w:tab w:val="left" w:pos="2268"/>
              </w:tabs>
              <w:ind w:left="423" w:right="-57" w:hanging="423"/>
              <w:rPr>
                <w:b/>
                <w:sz w:val="20"/>
                <w:szCs w:val="20"/>
              </w:rPr>
            </w:pPr>
          </w:p>
          <w:p w14:paraId="769C95A0" w14:textId="77777777" w:rsidR="000C73E1" w:rsidRDefault="000C73E1" w:rsidP="003D0E46">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Complex numbers.</w:t>
            </w:r>
          </w:p>
          <w:p w14:paraId="70250299" w14:textId="77777777" w:rsidR="000C73E1" w:rsidRDefault="000C73E1" w:rsidP="003D0E46">
            <w:pPr>
              <w:tabs>
                <w:tab w:val="left" w:pos="2268"/>
              </w:tabs>
              <w:ind w:left="423" w:right="-57" w:hanging="423"/>
              <w:rPr>
                <w:b/>
                <w:sz w:val="20"/>
                <w:szCs w:val="20"/>
              </w:rPr>
            </w:pPr>
          </w:p>
          <w:p w14:paraId="56E1A1F0" w14:textId="77777777" w:rsidR="000C73E1" w:rsidRDefault="000C73E1" w:rsidP="003D0E46">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Analytic Geometry.</w:t>
            </w:r>
          </w:p>
          <w:p w14:paraId="290E65DB" w14:textId="77777777" w:rsidR="000C73E1" w:rsidRDefault="000C73E1" w:rsidP="003D0E46">
            <w:pPr>
              <w:tabs>
                <w:tab w:val="left" w:pos="2268"/>
              </w:tabs>
              <w:ind w:left="423" w:right="-57" w:hanging="423"/>
              <w:rPr>
                <w:b/>
                <w:sz w:val="20"/>
                <w:szCs w:val="20"/>
              </w:rPr>
            </w:pPr>
          </w:p>
          <w:p w14:paraId="28664B17" w14:textId="77777777" w:rsidR="000C73E1" w:rsidRDefault="000C73E1" w:rsidP="003D0E46">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Matrices.</w:t>
            </w:r>
          </w:p>
          <w:p w14:paraId="775B8499" w14:textId="77777777" w:rsidR="000C73E1" w:rsidRDefault="000C73E1" w:rsidP="003D0E46">
            <w:pPr>
              <w:tabs>
                <w:tab w:val="left" w:pos="2268"/>
              </w:tabs>
              <w:ind w:left="423" w:right="-57" w:hanging="423"/>
              <w:rPr>
                <w:b/>
                <w:sz w:val="20"/>
                <w:szCs w:val="20"/>
              </w:rPr>
            </w:pPr>
          </w:p>
          <w:p w14:paraId="0CFADA38" w14:textId="77777777" w:rsidR="000C73E1" w:rsidRDefault="000C73E1" w:rsidP="003D0E46">
            <w:pPr>
              <w:tabs>
                <w:tab w:val="left" w:pos="2268"/>
              </w:tabs>
              <w:ind w:left="423" w:right="-57" w:hanging="423"/>
              <w:rPr>
                <w:sz w:val="20"/>
                <w:szCs w:val="20"/>
              </w:rPr>
            </w:pPr>
            <w:r w:rsidRPr="0093777A">
              <w:rPr>
                <w:b/>
                <w:noProof/>
                <w:sz w:val="20"/>
                <w:szCs w:val="20"/>
              </w:rPr>
              <w:lastRenderedPageBreak/>
              <w:t>7.</w:t>
            </w:r>
            <w:r w:rsidRPr="00F13236">
              <w:rPr>
                <w:b/>
                <w:sz w:val="20"/>
                <w:szCs w:val="20"/>
              </w:rPr>
              <w:t xml:space="preserve">   </w:t>
            </w:r>
            <w:r>
              <w:rPr>
                <w:b/>
                <w:sz w:val="20"/>
                <w:szCs w:val="20"/>
              </w:rPr>
              <w:t xml:space="preserve">    </w:t>
            </w:r>
            <w:r w:rsidRPr="0093777A">
              <w:rPr>
                <w:noProof/>
                <w:sz w:val="20"/>
                <w:szCs w:val="20"/>
              </w:rPr>
              <w:t>Introduction to statistics.</w:t>
            </w:r>
          </w:p>
          <w:p w14:paraId="0E925AE8" w14:textId="77777777" w:rsidR="000C73E1" w:rsidRDefault="000C73E1" w:rsidP="003D0E46">
            <w:pPr>
              <w:tabs>
                <w:tab w:val="left" w:pos="2268"/>
              </w:tabs>
              <w:ind w:left="423" w:right="-57" w:hanging="423"/>
              <w:rPr>
                <w:b/>
                <w:sz w:val="20"/>
                <w:szCs w:val="20"/>
              </w:rPr>
            </w:pPr>
          </w:p>
          <w:p w14:paraId="1FB6317A" w14:textId="77777777" w:rsidR="000C73E1" w:rsidRDefault="000C73E1" w:rsidP="003D0E46">
            <w:pPr>
              <w:tabs>
                <w:tab w:val="left" w:pos="2268"/>
              </w:tabs>
              <w:ind w:left="423" w:right="-57" w:hanging="423"/>
              <w:rPr>
                <w:sz w:val="20"/>
                <w:szCs w:val="20"/>
              </w:rPr>
            </w:pPr>
            <w:r w:rsidRPr="0093777A">
              <w:rPr>
                <w:b/>
                <w:noProof/>
                <w:sz w:val="20"/>
                <w:szCs w:val="20"/>
              </w:rPr>
              <w:t>8.</w:t>
            </w:r>
            <w:r>
              <w:rPr>
                <w:sz w:val="20"/>
                <w:szCs w:val="20"/>
              </w:rPr>
              <w:t xml:space="preserve">        </w:t>
            </w:r>
            <w:r w:rsidRPr="0093777A">
              <w:rPr>
                <w:noProof/>
                <w:sz w:val="20"/>
                <w:szCs w:val="20"/>
              </w:rPr>
              <w:t>Sequences.</w:t>
            </w:r>
          </w:p>
          <w:p w14:paraId="2B94DBD4" w14:textId="77777777" w:rsidR="000C73E1" w:rsidRDefault="000C73E1" w:rsidP="003D0E46">
            <w:pPr>
              <w:tabs>
                <w:tab w:val="left" w:pos="2268"/>
              </w:tabs>
              <w:ind w:left="423" w:right="-57" w:hanging="423"/>
              <w:rPr>
                <w:b/>
                <w:sz w:val="20"/>
                <w:szCs w:val="20"/>
              </w:rPr>
            </w:pPr>
          </w:p>
          <w:p w14:paraId="08C22AF0" w14:textId="77777777" w:rsidR="000C73E1" w:rsidRPr="00D95EAF" w:rsidRDefault="000C73E1" w:rsidP="003D0E46">
            <w:pPr>
              <w:tabs>
                <w:tab w:val="left" w:pos="2268"/>
              </w:tabs>
              <w:ind w:left="423" w:right="-57" w:hanging="423"/>
              <w:rPr>
                <w:sz w:val="20"/>
                <w:szCs w:val="20"/>
              </w:rPr>
            </w:pPr>
          </w:p>
        </w:tc>
      </w:tr>
      <w:tr w:rsidR="000C73E1" w:rsidRPr="007C3638" w14:paraId="794FFCCE" w14:textId="77777777" w:rsidTr="003D0E46">
        <w:tc>
          <w:tcPr>
            <w:tcW w:w="1744" w:type="dxa"/>
            <w:shd w:val="clear" w:color="auto" w:fill="auto"/>
          </w:tcPr>
          <w:p w14:paraId="42D01B16" w14:textId="77777777" w:rsidR="000C73E1" w:rsidRPr="008E6725" w:rsidRDefault="000C73E1"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44AC00F8" w14:textId="77777777" w:rsidR="000C73E1" w:rsidRDefault="000C73E1" w:rsidP="003D0E46">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15AE0C1A" w14:textId="77777777" w:rsidR="000C73E1" w:rsidRDefault="000C73E1" w:rsidP="003D0E46">
            <w:pPr>
              <w:rPr>
                <w:b/>
                <w:noProof/>
                <w:sz w:val="20"/>
                <w:szCs w:val="20"/>
              </w:rPr>
            </w:pPr>
          </w:p>
          <w:p w14:paraId="51130B66" w14:textId="77777777" w:rsidR="000C73E1" w:rsidRDefault="000C73E1" w:rsidP="003D0E46">
            <w:pPr>
              <w:rPr>
                <w:noProof/>
                <w:sz w:val="20"/>
                <w:szCs w:val="20"/>
              </w:rPr>
            </w:pPr>
            <w:r w:rsidRPr="0093777A">
              <w:rPr>
                <w:b/>
                <w:noProof/>
                <w:sz w:val="20"/>
                <w:szCs w:val="20"/>
              </w:rPr>
              <w:t>1.</w:t>
            </w:r>
            <w:r>
              <w:rPr>
                <w:b/>
                <w:noProof/>
                <w:sz w:val="20"/>
                <w:szCs w:val="20"/>
              </w:rPr>
              <w:t xml:space="preserve">      </w:t>
            </w:r>
            <w:r w:rsidRPr="0093777A">
              <w:rPr>
                <w:noProof/>
                <w:sz w:val="20"/>
                <w:szCs w:val="20"/>
              </w:rPr>
              <w:t>developed fluency in quantitative, algebraic and graphical manipulations;</w:t>
            </w:r>
            <w:r w:rsidRPr="005E441A">
              <w:rPr>
                <w:noProof/>
                <w:sz w:val="20"/>
                <w:szCs w:val="20"/>
              </w:rPr>
              <w:t xml:space="preserve"> </w:t>
            </w:r>
          </w:p>
          <w:p w14:paraId="62A92C9B" w14:textId="77777777" w:rsidR="000C73E1" w:rsidRDefault="000C73E1" w:rsidP="003D0E46">
            <w:pPr>
              <w:rPr>
                <w:b/>
                <w:noProof/>
                <w:sz w:val="20"/>
                <w:szCs w:val="20"/>
              </w:rPr>
            </w:pPr>
          </w:p>
          <w:p w14:paraId="0F212D5F" w14:textId="77777777" w:rsidR="000C73E1" w:rsidRDefault="000C73E1" w:rsidP="003D0E46">
            <w:pPr>
              <w:rPr>
                <w:noProof/>
                <w:sz w:val="20"/>
                <w:szCs w:val="20"/>
              </w:rPr>
            </w:pPr>
            <w:r w:rsidRPr="0093777A">
              <w:rPr>
                <w:b/>
                <w:noProof/>
                <w:sz w:val="20"/>
                <w:szCs w:val="20"/>
              </w:rPr>
              <w:t>2.</w:t>
            </w:r>
            <w:r>
              <w:rPr>
                <w:b/>
                <w:noProof/>
                <w:sz w:val="20"/>
                <w:szCs w:val="20"/>
              </w:rPr>
              <w:t xml:space="preserve">      </w:t>
            </w:r>
            <w:r w:rsidRPr="0093777A">
              <w:rPr>
                <w:noProof/>
                <w:sz w:val="20"/>
                <w:szCs w:val="20"/>
              </w:rPr>
              <w:t>executed simple mathematics with accuracy and clarity;</w:t>
            </w:r>
            <w:r w:rsidRPr="005E441A">
              <w:rPr>
                <w:noProof/>
                <w:sz w:val="20"/>
                <w:szCs w:val="20"/>
              </w:rPr>
              <w:t xml:space="preserve"> </w:t>
            </w:r>
          </w:p>
          <w:p w14:paraId="06D6610B" w14:textId="77777777" w:rsidR="000C73E1" w:rsidRDefault="000C73E1" w:rsidP="003D0E46">
            <w:pPr>
              <w:rPr>
                <w:b/>
                <w:noProof/>
                <w:sz w:val="20"/>
                <w:szCs w:val="20"/>
              </w:rPr>
            </w:pPr>
          </w:p>
          <w:p w14:paraId="69559A11" w14:textId="77777777" w:rsidR="000C73E1" w:rsidRDefault="000C73E1" w:rsidP="003D0E46">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solved problems involving elementary but key mathematical ideas in algebra, geometry, trigonometry, and statistics;</w:t>
            </w:r>
            <w:r w:rsidRPr="005E441A">
              <w:rPr>
                <w:noProof/>
                <w:sz w:val="20"/>
                <w:szCs w:val="20"/>
              </w:rPr>
              <w:t xml:space="preserve"> </w:t>
            </w:r>
          </w:p>
          <w:p w14:paraId="14046B6D" w14:textId="77777777" w:rsidR="000C73E1" w:rsidRPr="005E441A" w:rsidRDefault="000C73E1" w:rsidP="003D0E46">
            <w:pPr>
              <w:ind w:left="417"/>
              <w:rPr>
                <w:noProof/>
                <w:sz w:val="20"/>
                <w:szCs w:val="20"/>
              </w:rPr>
            </w:pPr>
          </w:p>
          <w:p w14:paraId="0899E1A2" w14:textId="77777777" w:rsidR="000C73E1" w:rsidRDefault="000C73E1" w:rsidP="003D0E46">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developed and applied recognised processes to solve mathematical problems;</w:t>
            </w:r>
            <w:r w:rsidRPr="005E441A">
              <w:rPr>
                <w:noProof/>
                <w:sz w:val="20"/>
                <w:szCs w:val="20"/>
              </w:rPr>
              <w:t xml:space="preserve"> </w:t>
            </w:r>
          </w:p>
          <w:p w14:paraId="1271BDB3" w14:textId="77777777" w:rsidR="000C73E1" w:rsidRDefault="000C73E1" w:rsidP="003D0E46">
            <w:pPr>
              <w:rPr>
                <w:b/>
                <w:noProof/>
                <w:sz w:val="20"/>
                <w:szCs w:val="20"/>
              </w:rPr>
            </w:pPr>
          </w:p>
          <w:p w14:paraId="30873832" w14:textId="77777777" w:rsidR="000C73E1" w:rsidRDefault="000C73E1" w:rsidP="003D0E46">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reflect on the order of God’s creation which mathematics reveals;</w:t>
            </w:r>
            <w:r w:rsidRPr="005E441A">
              <w:rPr>
                <w:noProof/>
                <w:sz w:val="20"/>
                <w:szCs w:val="20"/>
              </w:rPr>
              <w:t xml:space="preserve"> </w:t>
            </w:r>
          </w:p>
          <w:p w14:paraId="4E83AA88" w14:textId="77777777" w:rsidR="000C73E1" w:rsidRDefault="000C73E1" w:rsidP="003D0E46">
            <w:pPr>
              <w:rPr>
                <w:b/>
                <w:noProof/>
                <w:sz w:val="20"/>
                <w:szCs w:val="20"/>
              </w:rPr>
            </w:pPr>
          </w:p>
          <w:p w14:paraId="2C32117A" w14:textId="77777777" w:rsidR="000C73E1" w:rsidRDefault="000C73E1" w:rsidP="003D0E46">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applied appropriate strategies to effectively communicate relevant mathematical concepts and arguments using either written English or mathematical notations, as appropriate; and</w:t>
            </w:r>
            <w:r w:rsidRPr="005E441A">
              <w:rPr>
                <w:noProof/>
                <w:sz w:val="20"/>
                <w:szCs w:val="20"/>
              </w:rPr>
              <w:t xml:space="preserve"> </w:t>
            </w:r>
          </w:p>
          <w:p w14:paraId="17D548A5" w14:textId="77777777" w:rsidR="000C73E1" w:rsidRPr="005E441A" w:rsidRDefault="000C73E1" w:rsidP="003D0E46">
            <w:pPr>
              <w:ind w:left="417"/>
              <w:rPr>
                <w:noProof/>
                <w:sz w:val="20"/>
                <w:szCs w:val="20"/>
              </w:rPr>
            </w:pPr>
          </w:p>
          <w:p w14:paraId="6C5094D1" w14:textId="77777777" w:rsidR="000C73E1" w:rsidRDefault="000C73E1" w:rsidP="003D0E46">
            <w:pPr>
              <w:rPr>
                <w:noProof/>
                <w:sz w:val="20"/>
                <w:szCs w:val="20"/>
              </w:rPr>
            </w:pPr>
            <w:r w:rsidRPr="0093777A">
              <w:rPr>
                <w:b/>
                <w:noProof/>
                <w:sz w:val="20"/>
                <w:szCs w:val="20"/>
              </w:rPr>
              <w:t>7.</w:t>
            </w:r>
            <w:r>
              <w:rPr>
                <w:b/>
                <w:noProof/>
                <w:sz w:val="20"/>
                <w:szCs w:val="20"/>
              </w:rPr>
              <w:t xml:space="preserve">       </w:t>
            </w:r>
            <w:r w:rsidRPr="0093777A">
              <w:rPr>
                <w:noProof/>
                <w:sz w:val="20"/>
                <w:szCs w:val="20"/>
              </w:rPr>
              <w:t>communicated at an appropriate tertiary standard: with special attention to design elements, grammars, usage, logical relations, style, referencing and presentation.</w:t>
            </w:r>
            <w:r w:rsidRPr="005E441A">
              <w:rPr>
                <w:noProof/>
                <w:sz w:val="20"/>
                <w:szCs w:val="20"/>
              </w:rPr>
              <w:t xml:space="preserve"> </w:t>
            </w:r>
          </w:p>
          <w:p w14:paraId="6A69FC93" w14:textId="77777777" w:rsidR="000C73E1" w:rsidRDefault="000C73E1" w:rsidP="003D0E46">
            <w:pPr>
              <w:rPr>
                <w:b/>
                <w:noProof/>
                <w:sz w:val="20"/>
                <w:szCs w:val="20"/>
              </w:rPr>
            </w:pPr>
          </w:p>
          <w:p w14:paraId="7F0B8DE8" w14:textId="77777777" w:rsidR="000C73E1" w:rsidRPr="00FD54C0" w:rsidRDefault="000C73E1" w:rsidP="003D0E46">
            <w:pPr>
              <w:rPr>
                <w:sz w:val="20"/>
                <w:szCs w:val="20"/>
              </w:rPr>
            </w:pPr>
          </w:p>
        </w:tc>
      </w:tr>
      <w:tr w:rsidR="000C73E1" w:rsidRPr="007C3638" w14:paraId="689DE0FC" w14:textId="77777777" w:rsidTr="003D0E46">
        <w:tc>
          <w:tcPr>
            <w:tcW w:w="1744" w:type="dxa"/>
            <w:shd w:val="clear" w:color="auto" w:fill="auto"/>
          </w:tcPr>
          <w:p w14:paraId="0CA27109" w14:textId="77777777" w:rsidR="000C73E1" w:rsidRPr="007C3638" w:rsidRDefault="000C73E1" w:rsidP="003D0E46">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t>Assessment tasks</w:t>
            </w:r>
          </w:p>
        </w:tc>
        <w:tc>
          <w:tcPr>
            <w:tcW w:w="7959" w:type="dxa"/>
            <w:shd w:val="clear" w:color="auto" w:fill="auto"/>
          </w:tcPr>
          <w:p w14:paraId="4ED72608" w14:textId="77777777" w:rsidR="000C73E1" w:rsidRPr="00741670" w:rsidRDefault="000C73E1" w:rsidP="003D0E46">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Folio (Demonstration)</w:t>
            </w:r>
          </w:p>
          <w:p w14:paraId="2EDAF0DA" w14:textId="77777777" w:rsidR="000C73E1" w:rsidRPr="009D43E7" w:rsidRDefault="000C73E1" w:rsidP="003D0E46">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1 each week</w:t>
            </w:r>
          </w:p>
          <w:p w14:paraId="20569CE9" w14:textId="77777777" w:rsidR="000C73E1" w:rsidRPr="009D43E7" w:rsidRDefault="000C73E1" w:rsidP="003D0E46">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20%</w:t>
            </w:r>
          </w:p>
          <w:p w14:paraId="35CE5596" w14:textId="77777777" w:rsidR="000C73E1" w:rsidRDefault="000C73E1" w:rsidP="003D0E46">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Weekly</w:t>
            </w:r>
          </w:p>
          <w:p w14:paraId="47B62526" w14:textId="77777777" w:rsidR="000C73E1" w:rsidRPr="00741670" w:rsidRDefault="000C73E1" w:rsidP="003D0E46">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lastRenderedPageBreak/>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Investigation and modelling (Investigation)</w:t>
            </w:r>
          </w:p>
          <w:p w14:paraId="31BBEB7D" w14:textId="77777777" w:rsidR="000C73E1" w:rsidRPr="00745DC7" w:rsidRDefault="000C73E1" w:rsidP="003D0E46">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1500 words</w:t>
            </w:r>
          </w:p>
          <w:p w14:paraId="1145D53B" w14:textId="77777777" w:rsidR="000C73E1" w:rsidRPr="007947D4" w:rsidRDefault="000C73E1" w:rsidP="003D0E46">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30%</w:t>
            </w:r>
          </w:p>
          <w:p w14:paraId="3F120277" w14:textId="77777777" w:rsidR="000C73E1" w:rsidRDefault="000C73E1" w:rsidP="003D0E46">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Week 7</w:t>
            </w:r>
          </w:p>
          <w:p w14:paraId="30F55464" w14:textId="77777777" w:rsidR="000C73E1" w:rsidRDefault="000C73E1" w:rsidP="003D0E46">
            <w:pPr>
              <w:spacing w:before="120" w:after="240"/>
              <w:ind w:left="20" w:right="-57"/>
              <w:rPr>
                <w:rFonts w:ascii="Calibri" w:eastAsia="Calibri" w:hAnsi="Calibri" w:cs="Times New Roman"/>
                <w:noProof/>
                <w:sz w:val="20"/>
                <w:szCs w:val="20"/>
              </w:rPr>
            </w:pPr>
          </w:p>
          <w:p w14:paraId="4EB34CE7" w14:textId="77777777" w:rsidR="000C73E1" w:rsidRDefault="000C73E1" w:rsidP="003D0E46">
            <w:pPr>
              <w:spacing w:before="120" w:after="240"/>
              <w:ind w:left="20" w:right="-57"/>
              <w:rPr>
                <w:rFonts w:ascii="Calibri" w:eastAsia="Calibri" w:hAnsi="Calibri" w:cs="Times New Roman"/>
                <w:noProof/>
                <w:sz w:val="20"/>
                <w:szCs w:val="20"/>
              </w:rPr>
            </w:pPr>
            <w:r>
              <w:rPr>
                <w:rFonts w:ascii="Calibri" w:eastAsia="Calibri" w:hAnsi="Calibri" w:cs="Times New Roman"/>
                <w:noProof/>
                <w:sz w:val="20"/>
                <w:szCs w:val="20"/>
              </w:rPr>
              <w:t>A percentage weighting is assigned to the Professional experience Folio to indicate its relative contribution to the assessment load for the unit. Successful completion of the Professional experience folio will constitute and ungraded pass and as such will not contribute to the calculation of the final unit grade.</w:t>
            </w:r>
          </w:p>
          <w:p w14:paraId="4F9A2C2F" w14:textId="77777777" w:rsidR="000C73E1" w:rsidRPr="006B5387" w:rsidRDefault="000C73E1" w:rsidP="003D0E46">
            <w:pPr>
              <w:tabs>
                <w:tab w:val="left" w:pos="2268"/>
              </w:tabs>
              <w:spacing w:before="120" w:after="240"/>
              <w:ind w:right="-57"/>
              <w:rPr>
                <w:rFonts w:ascii="Calibri" w:eastAsia="Calibri" w:hAnsi="Calibri" w:cs="Times New Roman"/>
                <w:noProof/>
                <w:sz w:val="20"/>
                <w:szCs w:val="20"/>
              </w:rPr>
            </w:pPr>
          </w:p>
        </w:tc>
      </w:tr>
      <w:tr w:rsidR="000C73E1" w:rsidRPr="007C3638" w14:paraId="2FF16AF2" w14:textId="77777777" w:rsidTr="003D0E46">
        <w:tc>
          <w:tcPr>
            <w:tcW w:w="1744" w:type="dxa"/>
            <w:shd w:val="clear" w:color="auto" w:fill="auto"/>
          </w:tcPr>
          <w:p w14:paraId="0BCD228E" w14:textId="77777777" w:rsidR="000C73E1" w:rsidRPr="00116300" w:rsidRDefault="000C73E1" w:rsidP="003D0E46">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0C73E1" w:rsidRPr="00116300" w14:paraId="76A2DF40" w14:textId="77777777" w:rsidTr="003D0E46">
              <w:tc>
                <w:tcPr>
                  <w:tcW w:w="1687" w:type="dxa"/>
                  <w:tcBorders>
                    <w:bottom w:val="single" w:sz="4" w:space="0" w:color="auto"/>
                  </w:tcBorders>
                  <w:shd w:val="clear" w:color="auto" w:fill="auto"/>
                </w:tcPr>
                <w:p w14:paraId="57B3507D" w14:textId="77777777" w:rsidR="000C73E1" w:rsidRPr="00116300" w:rsidRDefault="000C73E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tcBorders>
                    <w:bottom w:val="single" w:sz="4" w:space="0" w:color="auto"/>
                  </w:tcBorders>
                  <w:shd w:val="clear" w:color="auto" w:fill="auto"/>
                </w:tcPr>
                <w:p w14:paraId="1523C060" w14:textId="77777777" w:rsidR="000C73E1" w:rsidRPr="00116300" w:rsidRDefault="000C73E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tcBorders>
                    <w:bottom w:val="single" w:sz="4" w:space="0" w:color="auto"/>
                  </w:tcBorders>
                  <w:shd w:val="clear" w:color="auto" w:fill="auto"/>
                </w:tcPr>
                <w:p w14:paraId="1797EB1C" w14:textId="77777777" w:rsidR="000C73E1" w:rsidRPr="00116300" w:rsidRDefault="000C73E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tcBorders>
                    <w:bottom w:val="single" w:sz="4" w:space="0" w:color="auto"/>
                  </w:tcBorders>
                  <w:shd w:val="clear" w:color="auto" w:fill="auto"/>
                </w:tcPr>
                <w:p w14:paraId="3A23488B" w14:textId="77777777" w:rsidR="000C73E1" w:rsidRPr="00116300" w:rsidRDefault="000C73E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0C73E1" w:rsidRPr="00116300" w14:paraId="76CCF4B0" w14:textId="77777777" w:rsidTr="003D0E46">
              <w:tc>
                <w:tcPr>
                  <w:tcW w:w="1687" w:type="dxa"/>
                  <w:tcBorders>
                    <w:top w:val="single" w:sz="4" w:space="0" w:color="auto"/>
                    <w:left w:val="single" w:sz="4" w:space="0" w:color="auto"/>
                    <w:bottom w:val="single" w:sz="4" w:space="0" w:color="auto"/>
                    <w:right w:val="single" w:sz="4" w:space="0" w:color="auto"/>
                  </w:tcBorders>
                </w:tcPr>
                <w:p w14:paraId="615B8386" w14:textId="77777777" w:rsidR="000C73E1" w:rsidRPr="00116300" w:rsidRDefault="000C73E1"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Borders>
                    <w:top w:val="single" w:sz="4" w:space="0" w:color="auto"/>
                    <w:left w:val="single" w:sz="4" w:space="0" w:color="auto"/>
                    <w:bottom w:val="single" w:sz="4" w:space="0" w:color="auto"/>
                    <w:right w:val="single" w:sz="4" w:space="0" w:color="auto"/>
                  </w:tcBorders>
                </w:tcPr>
                <w:p w14:paraId="0ED18D77" w14:textId="77777777" w:rsidR="000C73E1" w:rsidRPr="00116300" w:rsidRDefault="000C73E1"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1-4, 6</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82CC348" w14:textId="77777777" w:rsidR="000C73E1" w:rsidRPr="00116300" w:rsidRDefault="000C73E1" w:rsidP="003D0E46">
                  <w:pPr>
                    <w:tabs>
                      <w:tab w:val="left" w:pos="460"/>
                    </w:tabs>
                    <w:spacing w:before="120" w:after="120"/>
                    <w:ind w:right="-57"/>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84C6BB7" w14:textId="77777777" w:rsidR="000C73E1" w:rsidRPr="00116300" w:rsidRDefault="000C73E1" w:rsidP="003D0E46">
                  <w:pPr>
                    <w:tabs>
                      <w:tab w:val="left" w:pos="460"/>
                    </w:tabs>
                    <w:spacing w:before="120" w:after="120"/>
                    <w:ind w:right="-57"/>
                    <w:jc w:val="center"/>
                    <w:rPr>
                      <w:rFonts w:ascii="Calibri" w:hAnsi="Calibri"/>
                      <w:sz w:val="20"/>
                      <w:szCs w:val="20"/>
                    </w:rPr>
                  </w:pPr>
                </w:p>
              </w:tc>
            </w:tr>
            <w:tr w:rsidR="000C73E1" w:rsidRPr="00116300" w14:paraId="28786BD8" w14:textId="77777777" w:rsidTr="003D0E46">
              <w:tc>
                <w:tcPr>
                  <w:tcW w:w="1687" w:type="dxa"/>
                  <w:tcBorders>
                    <w:top w:val="single" w:sz="4" w:space="0" w:color="auto"/>
                    <w:left w:val="single" w:sz="4" w:space="0" w:color="auto"/>
                    <w:bottom w:val="single" w:sz="4" w:space="0" w:color="auto"/>
                    <w:right w:val="single" w:sz="4" w:space="0" w:color="auto"/>
                  </w:tcBorders>
                </w:tcPr>
                <w:p w14:paraId="2FD40065" w14:textId="77777777" w:rsidR="000C73E1" w:rsidRPr="00116300" w:rsidRDefault="000C73E1"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Borders>
                    <w:top w:val="single" w:sz="4" w:space="0" w:color="auto"/>
                    <w:left w:val="single" w:sz="4" w:space="0" w:color="auto"/>
                    <w:bottom w:val="single" w:sz="4" w:space="0" w:color="auto"/>
                    <w:right w:val="single" w:sz="4" w:space="0" w:color="auto"/>
                  </w:tcBorders>
                </w:tcPr>
                <w:p w14:paraId="731FF14A" w14:textId="77777777" w:rsidR="000C73E1" w:rsidRPr="00116300" w:rsidRDefault="000C73E1"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1-7</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B78927B" w14:textId="77777777" w:rsidR="000C73E1" w:rsidRPr="00116300" w:rsidRDefault="000C73E1" w:rsidP="003D0E46">
                  <w:pPr>
                    <w:tabs>
                      <w:tab w:val="left" w:pos="460"/>
                    </w:tabs>
                    <w:spacing w:before="120" w:after="120"/>
                    <w:ind w:right="-57"/>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98300E" w14:textId="77777777" w:rsidR="000C73E1" w:rsidRPr="00116300" w:rsidRDefault="000C73E1" w:rsidP="003D0E46">
                  <w:pPr>
                    <w:tabs>
                      <w:tab w:val="left" w:pos="460"/>
                    </w:tabs>
                    <w:spacing w:before="120" w:after="120"/>
                    <w:ind w:right="-57"/>
                    <w:jc w:val="center"/>
                    <w:rPr>
                      <w:rFonts w:ascii="Calibri" w:hAnsi="Calibri"/>
                      <w:sz w:val="20"/>
                      <w:szCs w:val="20"/>
                    </w:rPr>
                  </w:pPr>
                </w:p>
              </w:tc>
            </w:tr>
          </w:tbl>
          <w:p w14:paraId="2ECE0062" w14:textId="77777777" w:rsidR="000C73E1" w:rsidRPr="00116300" w:rsidRDefault="000C73E1" w:rsidP="003D0E46">
            <w:pPr>
              <w:tabs>
                <w:tab w:val="center" w:pos="990"/>
                <w:tab w:val="center" w:pos="2833"/>
                <w:tab w:val="center" w:pos="4818"/>
                <w:tab w:val="center" w:pos="6660"/>
              </w:tabs>
              <w:spacing w:before="120" w:after="120"/>
              <w:ind w:left="1440" w:right="-57"/>
              <w:rPr>
                <w:rFonts w:ascii="Calibri" w:hAnsi="Calibri"/>
                <w:sz w:val="20"/>
                <w:szCs w:val="20"/>
              </w:rPr>
            </w:pPr>
          </w:p>
        </w:tc>
      </w:tr>
      <w:tr w:rsidR="000C73E1" w:rsidRPr="007C3638" w14:paraId="67BB93C5" w14:textId="77777777" w:rsidTr="003D0E46">
        <w:tc>
          <w:tcPr>
            <w:tcW w:w="1744" w:type="dxa"/>
            <w:shd w:val="clear" w:color="auto" w:fill="auto"/>
          </w:tcPr>
          <w:p w14:paraId="5BA09A5B" w14:textId="77777777" w:rsidR="000C73E1" w:rsidRPr="007C3638" w:rsidRDefault="000C73E1" w:rsidP="003D0E46">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3B4E8A19" w14:textId="77777777" w:rsidR="000C73E1" w:rsidRDefault="000C73E1" w:rsidP="003D0E46">
            <w:pPr>
              <w:tabs>
                <w:tab w:val="left" w:pos="460"/>
              </w:tabs>
              <w:spacing w:before="240"/>
              <w:ind w:right="-57"/>
              <w:rPr>
                <w:rFonts w:ascii="Calibri" w:hAnsi="Calibri"/>
                <w:sz w:val="20"/>
                <w:szCs w:val="20"/>
              </w:rPr>
            </w:pPr>
            <w:r w:rsidRPr="0093777A">
              <w:rPr>
                <w:rFonts w:ascii="Calibri" w:hAnsi="Calibri"/>
                <w:noProof/>
                <w:sz w:val="20"/>
                <w:szCs w:val="20"/>
              </w:rPr>
              <w:t>Washington, A. (2013).</w:t>
            </w:r>
            <w:r w:rsidRPr="008E6725">
              <w:rPr>
                <w:rFonts w:ascii="Calibri" w:hAnsi="Calibri"/>
                <w:i/>
                <w:sz w:val="20"/>
                <w:szCs w:val="20"/>
              </w:rPr>
              <w:t xml:space="preserve"> </w:t>
            </w:r>
            <w:r w:rsidRPr="0093777A">
              <w:rPr>
                <w:rFonts w:ascii="Calibri" w:hAnsi="Calibri"/>
                <w:i/>
                <w:noProof/>
                <w:sz w:val="20"/>
                <w:szCs w:val="20"/>
              </w:rPr>
              <w:t>Basic technical mathematics with calculus.</w:t>
            </w:r>
            <w:r>
              <w:rPr>
                <w:rFonts w:ascii="Calibri" w:hAnsi="Calibri"/>
                <w:sz w:val="20"/>
                <w:szCs w:val="20"/>
              </w:rPr>
              <w:t xml:space="preserve"> </w:t>
            </w:r>
            <w:r w:rsidRPr="0093777A">
              <w:rPr>
                <w:rFonts w:ascii="Calibri" w:hAnsi="Calibri"/>
                <w:noProof/>
                <w:sz w:val="20"/>
                <w:szCs w:val="20"/>
              </w:rPr>
              <w:t>(10th ed.). New York, NY: Pearson.</w:t>
            </w:r>
          </w:p>
          <w:p w14:paraId="4F14B048" w14:textId="77777777" w:rsidR="000C73E1" w:rsidRPr="00027513" w:rsidRDefault="000C73E1" w:rsidP="003D0E46">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0C73E1" w:rsidRPr="007C3638" w14:paraId="1B0B6034" w14:textId="77777777" w:rsidTr="003D0E46">
        <w:tc>
          <w:tcPr>
            <w:tcW w:w="1744" w:type="dxa"/>
            <w:shd w:val="clear" w:color="auto" w:fill="auto"/>
          </w:tcPr>
          <w:p w14:paraId="2220CFB3" w14:textId="77777777" w:rsidR="000C73E1" w:rsidRPr="007C3638" w:rsidRDefault="000C73E1" w:rsidP="003D0E46">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5FCCC56A" w14:textId="77777777" w:rsidR="000C73E1" w:rsidRDefault="000C73E1" w:rsidP="003D0E46">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4DBE66F9"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Abramson, J. (2014).</w:t>
            </w:r>
            <w:r>
              <w:rPr>
                <w:rFonts w:ascii="Calibri" w:hAnsi="Calibri"/>
                <w:sz w:val="20"/>
                <w:szCs w:val="20"/>
              </w:rPr>
              <w:t xml:space="preserve"> </w:t>
            </w:r>
            <w:r w:rsidRPr="0093777A">
              <w:rPr>
                <w:rFonts w:ascii="Calibri" w:hAnsi="Calibri"/>
                <w:i/>
                <w:noProof/>
                <w:sz w:val="20"/>
                <w:szCs w:val="20"/>
              </w:rPr>
              <w:t>PreCalculus.</w:t>
            </w:r>
            <w:r>
              <w:rPr>
                <w:rFonts w:ascii="Calibri" w:hAnsi="Calibri"/>
                <w:sz w:val="20"/>
                <w:szCs w:val="20"/>
              </w:rPr>
              <w:t xml:space="preserve"> </w:t>
            </w:r>
            <w:r w:rsidRPr="0093777A">
              <w:rPr>
                <w:rFonts w:ascii="Calibri" w:hAnsi="Calibri"/>
                <w:noProof/>
                <w:sz w:val="20"/>
                <w:szCs w:val="20"/>
              </w:rPr>
              <w:t>Houston, TX: OpenStax College.</w:t>
            </w:r>
          </w:p>
          <w:p w14:paraId="1C8134C7"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Croft, A., &amp; Davison, R. (2010).</w:t>
            </w:r>
            <w:r>
              <w:rPr>
                <w:rFonts w:ascii="Calibri" w:hAnsi="Calibri"/>
                <w:sz w:val="20"/>
                <w:szCs w:val="20"/>
              </w:rPr>
              <w:t xml:space="preserve"> </w:t>
            </w:r>
            <w:r w:rsidRPr="0093777A">
              <w:rPr>
                <w:rFonts w:ascii="Calibri" w:hAnsi="Calibri"/>
                <w:i/>
                <w:noProof/>
                <w:sz w:val="20"/>
                <w:szCs w:val="20"/>
              </w:rPr>
              <w:t>Foundation Mathematics.</w:t>
            </w:r>
            <w:r>
              <w:rPr>
                <w:rFonts w:ascii="Calibri" w:hAnsi="Calibri"/>
                <w:sz w:val="20"/>
                <w:szCs w:val="20"/>
              </w:rPr>
              <w:t xml:space="preserve"> </w:t>
            </w:r>
            <w:r w:rsidRPr="0093777A">
              <w:rPr>
                <w:rFonts w:ascii="Calibri" w:hAnsi="Calibri"/>
                <w:noProof/>
                <w:sz w:val="20"/>
                <w:szCs w:val="20"/>
              </w:rPr>
              <w:t>(5th ed.). Essex, UK: Prentice-Hall.</w:t>
            </w:r>
          </w:p>
          <w:p w14:paraId="23D2735D"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Larson, R. (2014).</w:t>
            </w:r>
            <w:r>
              <w:rPr>
                <w:rFonts w:ascii="Calibri" w:hAnsi="Calibri"/>
                <w:sz w:val="20"/>
                <w:szCs w:val="20"/>
              </w:rPr>
              <w:t xml:space="preserve"> </w:t>
            </w:r>
            <w:r w:rsidRPr="0093777A">
              <w:rPr>
                <w:rFonts w:ascii="Calibri" w:hAnsi="Calibri"/>
                <w:i/>
                <w:noProof/>
                <w:sz w:val="20"/>
                <w:szCs w:val="20"/>
              </w:rPr>
              <w:t>Precalculus.</w:t>
            </w:r>
            <w:r>
              <w:rPr>
                <w:rFonts w:ascii="Calibri" w:hAnsi="Calibri"/>
                <w:sz w:val="20"/>
                <w:szCs w:val="20"/>
              </w:rPr>
              <w:t xml:space="preserve"> </w:t>
            </w:r>
            <w:r w:rsidRPr="0093777A">
              <w:rPr>
                <w:rFonts w:ascii="Calibri" w:hAnsi="Calibri"/>
                <w:noProof/>
                <w:sz w:val="20"/>
                <w:szCs w:val="20"/>
              </w:rPr>
              <w:t>(9th ed.). Boston, MA: Cengage Learning.</w:t>
            </w:r>
          </w:p>
          <w:p w14:paraId="5BA06BAF"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Safier, F. (2012).</w:t>
            </w:r>
            <w:r>
              <w:rPr>
                <w:rFonts w:ascii="Calibri" w:hAnsi="Calibri"/>
                <w:sz w:val="20"/>
                <w:szCs w:val="20"/>
              </w:rPr>
              <w:t xml:space="preserve"> </w:t>
            </w:r>
            <w:r w:rsidRPr="0093777A">
              <w:rPr>
                <w:rFonts w:ascii="Calibri" w:hAnsi="Calibri"/>
                <w:i/>
                <w:noProof/>
                <w:sz w:val="20"/>
                <w:szCs w:val="20"/>
              </w:rPr>
              <w:t>Schaum’s outline of precalculus.</w:t>
            </w:r>
            <w:r>
              <w:rPr>
                <w:rFonts w:ascii="Calibri" w:hAnsi="Calibri"/>
                <w:sz w:val="20"/>
                <w:szCs w:val="20"/>
              </w:rPr>
              <w:t xml:space="preserve"> </w:t>
            </w:r>
            <w:r w:rsidRPr="0093777A">
              <w:rPr>
                <w:rFonts w:ascii="Calibri" w:hAnsi="Calibri"/>
                <w:noProof/>
                <w:sz w:val="20"/>
                <w:szCs w:val="20"/>
              </w:rPr>
              <w:t>(3rd ed.). New York, NY: McGraw-Hill.</w:t>
            </w:r>
          </w:p>
          <w:p w14:paraId="344FFB8E"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Stewart, J., Redlin, L., &amp; Watson, S. (2015).</w:t>
            </w:r>
            <w:r>
              <w:rPr>
                <w:rFonts w:ascii="Calibri" w:hAnsi="Calibri"/>
                <w:sz w:val="20"/>
                <w:szCs w:val="20"/>
              </w:rPr>
              <w:t xml:space="preserve"> </w:t>
            </w:r>
            <w:r w:rsidRPr="0093777A">
              <w:rPr>
                <w:rFonts w:ascii="Calibri" w:hAnsi="Calibri"/>
                <w:i/>
                <w:noProof/>
                <w:sz w:val="20"/>
                <w:szCs w:val="20"/>
              </w:rPr>
              <w:t>Precalculus: Mathematics for calculus.</w:t>
            </w:r>
            <w:r>
              <w:rPr>
                <w:rFonts w:ascii="Calibri" w:hAnsi="Calibri"/>
                <w:sz w:val="20"/>
                <w:szCs w:val="20"/>
              </w:rPr>
              <w:t xml:space="preserve"> </w:t>
            </w:r>
            <w:r w:rsidRPr="0093777A">
              <w:rPr>
                <w:rFonts w:ascii="Calibri" w:hAnsi="Calibri"/>
                <w:noProof/>
                <w:sz w:val="20"/>
                <w:szCs w:val="20"/>
              </w:rPr>
              <w:t>(7th ed.). Boston, MA: Cengage Learning.</w:t>
            </w:r>
          </w:p>
          <w:p w14:paraId="7B724E66" w14:textId="77777777" w:rsidR="000C73E1" w:rsidRDefault="000C73E1"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Sullivan, M. (2011).</w:t>
            </w:r>
            <w:r>
              <w:rPr>
                <w:rFonts w:ascii="Calibri" w:hAnsi="Calibri"/>
                <w:sz w:val="20"/>
                <w:szCs w:val="20"/>
              </w:rPr>
              <w:t xml:space="preserve"> </w:t>
            </w:r>
            <w:r w:rsidRPr="0093777A">
              <w:rPr>
                <w:rFonts w:ascii="Calibri" w:hAnsi="Calibri"/>
                <w:i/>
                <w:noProof/>
                <w:sz w:val="20"/>
                <w:szCs w:val="20"/>
              </w:rPr>
              <w:t>Precalculus.</w:t>
            </w:r>
            <w:r>
              <w:rPr>
                <w:rFonts w:ascii="Calibri" w:hAnsi="Calibri"/>
                <w:sz w:val="20"/>
                <w:szCs w:val="20"/>
              </w:rPr>
              <w:t xml:space="preserve"> </w:t>
            </w:r>
            <w:r w:rsidRPr="0093777A">
              <w:rPr>
                <w:rFonts w:ascii="Calibri" w:hAnsi="Calibri"/>
                <w:noProof/>
                <w:sz w:val="20"/>
                <w:szCs w:val="20"/>
              </w:rPr>
              <w:t>(10th ed.). New York, NY: Pearson.</w:t>
            </w:r>
          </w:p>
          <w:p w14:paraId="6B369AC2" w14:textId="77777777" w:rsidR="000C73E1" w:rsidRPr="0010482E" w:rsidRDefault="000C73E1" w:rsidP="003D0E46">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28DC007C" w14:textId="77777777" w:rsidR="000C73E1" w:rsidRPr="007C3638" w:rsidRDefault="000C73E1" w:rsidP="003D0E46">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0C73E1" w:rsidRPr="007C3638" w14:paraId="4EB3564A" w14:textId="77777777" w:rsidTr="003D0E46">
        <w:tc>
          <w:tcPr>
            <w:tcW w:w="1744" w:type="dxa"/>
            <w:shd w:val="clear" w:color="auto" w:fill="auto"/>
          </w:tcPr>
          <w:p w14:paraId="1E76657D" w14:textId="77777777" w:rsidR="000C73E1" w:rsidRPr="00495D82" w:rsidRDefault="000C73E1" w:rsidP="003D0E46">
            <w:pPr>
              <w:spacing w:before="120" w:after="120"/>
              <w:ind w:right="-57"/>
              <w:rPr>
                <w:rFonts w:ascii="Calibri" w:hAnsi="Calibri"/>
                <w:b/>
                <w:sz w:val="20"/>
                <w:szCs w:val="20"/>
              </w:rPr>
            </w:pPr>
            <w:r w:rsidRPr="00495D82">
              <w:rPr>
                <w:rFonts w:ascii="Calibri" w:eastAsia="Calibri" w:hAnsi="Calibri" w:cs="Times New Roman"/>
                <w:b/>
                <w:sz w:val="20"/>
                <w:szCs w:val="20"/>
              </w:rPr>
              <w:t>Specialist resource requirements</w:t>
            </w:r>
          </w:p>
        </w:tc>
        <w:tc>
          <w:tcPr>
            <w:tcW w:w="7959" w:type="dxa"/>
            <w:shd w:val="clear" w:color="auto" w:fill="auto"/>
            <w:vAlign w:val="center"/>
          </w:tcPr>
          <w:p w14:paraId="3F202189" w14:textId="77777777" w:rsidR="000C73E1" w:rsidRPr="00495D82" w:rsidRDefault="000C73E1" w:rsidP="003D0E46">
            <w:pPr>
              <w:spacing w:before="120" w:after="120"/>
              <w:ind w:right="-57"/>
              <w:rPr>
                <w:rFonts w:ascii="Calibri" w:hAnsi="Calibri"/>
                <w:sz w:val="20"/>
                <w:szCs w:val="20"/>
              </w:rPr>
            </w:pPr>
            <w:r w:rsidRPr="0093777A">
              <w:rPr>
                <w:rFonts w:ascii="Calibri" w:hAnsi="Calibri"/>
                <w:noProof/>
                <w:sz w:val="20"/>
                <w:szCs w:val="20"/>
              </w:rPr>
              <w:t>Casio fx-82AU PLUS II scientific hand-calculator or equivalent</w:t>
            </w:r>
          </w:p>
        </w:tc>
      </w:tr>
    </w:tbl>
    <w:p w14:paraId="2A39E6A9" w14:textId="77777777" w:rsidR="000C73E1" w:rsidRDefault="000C73E1"/>
    <w:sectPr w:rsidR="000C73E1">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2E23" w14:textId="77777777" w:rsidR="0060380E" w:rsidRPr="00FC587F" w:rsidRDefault="000C73E1" w:rsidP="00FC587F">
    <w:pPr>
      <w:tabs>
        <w:tab w:val="center" w:pos="4536"/>
        <w:tab w:val="right" w:pos="9072"/>
        <w:tab w:val="right" w:pos="15989"/>
      </w:tabs>
      <w:spacing w:after="0" w:line="240" w:lineRule="auto"/>
      <w:jc w:val="both"/>
      <w:rPr>
        <w:rFonts w:ascii="Arial Narrow" w:eastAsia="Times New Roman" w:hAnsi="Arial Narrow" w:cs="Times New Roman"/>
        <w:sz w:val="16"/>
        <w:szCs w:val="16"/>
        <w:lang w:val="en-G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E1"/>
    <w:rsid w:val="000C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22A"/>
  <w15:chartTrackingRefBased/>
  <w15:docId w15:val="{13ADCFF4-8551-48AA-91BD-34B998DC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E1"/>
    <w:pPr>
      <w:ind w:left="720"/>
      <w:contextualSpacing/>
    </w:pPr>
  </w:style>
  <w:style w:type="paragraph" w:customStyle="1" w:styleId="UnitText">
    <w:name w:val="Unit Text"/>
    <w:basedOn w:val="Normal"/>
    <w:uiPriority w:val="99"/>
    <w:rsid w:val="000C73E1"/>
    <w:pPr>
      <w:spacing w:before="120" w:after="120" w:line="240" w:lineRule="auto"/>
      <w:jc w:val="both"/>
    </w:pPr>
    <w:rPr>
      <w:rFonts w:ascii="Gill Sans MT" w:eastAsia="Times New Roman" w:hAnsi="Gill Sans MT" w:cs="Lucida Sans Unicode"/>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2020-05-12T06:34:00Z</dcterms:created>
  <dcterms:modified xsi:type="dcterms:W3CDTF">2020-05-12T06:37:00Z</dcterms:modified>
</cp:coreProperties>
</file>