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BBFF" w14:textId="7CB3B89C" w:rsidR="00C81A17" w:rsidRPr="007C3638" w:rsidRDefault="00C81A17" w:rsidP="006C504A">
      <w:r>
        <w:rPr>
          <w:noProof/>
        </w:rPr>
        <w:drawing>
          <wp:anchor distT="0" distB="0" distL="114300" distR="114300" simplePos="0" relativeHeight="251666432" behindDoc="1" locked="0" layoutInCell="1" allowOverlap="1" wp14:anchorId="29A09846" wp14:editId="0DB51244">
            <wp:simplePos x="0" y="0"/>
            <wp:positionH relativeFrom="margin">
              <wp:posOffset>-57150</wp:posOffset>
            </wp:positionH>
            <wp:positionV relativeFrom="paragraph">
              <wp:posOffset>303530</wp:posOffset>
            </wp:positionV>
            <wp:extent cx="5731510" cy="8107045"/>
            <wp:effectExtent l="0" t="0" r="254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14:sizeRelH relativeFrom="page">
              <wp14:pctWidth>0</wp14:pctWidth>
            </wp14:sizeRelH>
            <wp14:sizeRelV relativeFrom="page">
              <wp14:pctHeight>0</wp14:pctHeight>
            </wp14:sizeRelV>
          </wp:anchor>
        </w:drawing>
      </w:r>
    </w:p>
    <w:p w14:paraId="6C17DE0E" w14:textId="6EC7A938" w:rsidR="00C81A17" w:rsidRPr="007C3638" w:rsidRDefault="00C81A17" w:rsidP="006C504A"/>
    <w:p w14:paraId="6AAEB6AB" w14:textId="77777777" w:rsidR="00C81A17" w:rsidRPr="007C3638" w:rsidRDefault="00C81A17" w:rsidP="006C504A"/>
    <w:p w14:paraId="4BA2BA6D" w14:textId="77777777" w:rsidR="00C81A17" w:rsidRPr="007C3638" w:rsidRDefault="00C81A17" w:rsidP="006C504A"/>
    <w:p w14:paraId="3CD6CE8D" w14:textId="77777777" w:rsidR="00C81A17" w:rsidRPr="007C3638" w:rsidRDefault="00C81A17" w:rsidP="006C504A"/>
    <w:p w14:paraId="17BEC0BB" w14:textId="77777777" w:rsidR="00C81A17" w:rsidRPr="007C3638" w:rsidRDefault="00C81A17" w:rsidP="006C504A"/>
    <w:p w14:paraId="0BF480AE" w14:textId="77777777" w:rsidR="00C81A17" w:rsidRPr="007C3638" w:rsidRDefault="00C81A17" w:rsidP="006C504A"/>
    <w:p w14:paraId="3DF95646" w14:textId="77777777" w:rsidR="00C81A17" w:rsidRPr="007C3638" w:rsidRDefault="00C81A17" w:rsidP="006C504A"/>
    <w:p w14:paraId="216F84B6" w14:textId="77777777" w:rsidR="00C81A17" w:rsidRPr="007C3638" w:rsidRDefault="00C81A17" w:rsidP="006C504A"/>
    <w:p w14:paraId="4E430652" w14:textId="77777777" w:rsidR="00C81A17" w:rsidRPr="007C3638" w:rsidRDefault="00C81A17" w:rsidP="006C504A">
      <w:pPr>
        <w:spacing w:before="175" w:line="636" w:lineRule="exact"/>
        <w:jc w:val="center"/>
        <w:textAlignment w:val="baseline"/>
        <w:rPr>
          <w:rFonts w:ascii="Arial" w:eastAsia="Arial" w:hAnsi="Arial"/>
          <w:b/>
          <w:color w:val="000000"/>
          <w:spacing w:val="-1"/>
          <w:sz w:val="56"/>
        </w:rPr>
      </w:pPr>
    </w:p>
    <w:p w14:paraId="7C564736" w14:textId="77777777" w:rsidR="00C81A17" w:rsidRDefault="00C81A17"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14F6D124" w14:textId="77777777" w:rsidR="00C81A17" w:rsidRDefault="00C81A17"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5BC2028E" w14:textId="77777777" w:rsidR="00C81A17" w:rsidRDefault="00C81A17"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3CE8EF6E" w14:textId="77777777" w:rsidR="00C81A17" w:rsidRDefault="00C81A17"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4F3633BD" w14:textId="77777777" w:rsidR="00C81A17" w:rsidRDefault="00C81A17"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6D6BBF43" w14:textId="77777777" w:rsidR="00C81A17" w:rsidRPr="007C3638" w:rsidRDefault="00C81A17" w:rsidP="006C504A">
      <w:pPr>
        <w:tabs>
          <w:tab w:val="left" w:pos="3969"/>
        </w:tabs>
        <w:spacing w:before="175" w:line="636" w:lineRule="exact"/>
        <w:ind w:left="1440" w:firstLine="720"/>
        <w:textAlignment w:val="baseline"/>
        <w:rPr>
          <w:rFonts w:eastAsia="Arial" w:cstheme="minorHAnsi"/>
          <w:b/>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MT111</w:t>
      </w:r>
    </w:p>
    <w:p w14:paraId="599552DE" w14:textId="77777777" w:rsidR="00C81A17" w:rsidRDefault="00C81A17" w:rsidP="006C504A">
      <w:pPr>
        <w:tabs>
          <w:tab w:val="left" w:pos="3969"/>
        </w:tabs>
        <w:spacing w:before="175" w:line="636" w:lineRule="exact"/>
        <w:ind w:left="3969" w:hanging="1809"/>
        <w:textAlignment w:val="baseline"/>
        <w:rPr>
          <w:rFonts w:eastAsia="Arial" w:cstheme="minorHAnsi"/>
          <w:b/>
          <w:color w:val="000000"/>
          <w:spacing w:val="-1"/>
          <w:sz w:val="32"/>
          <w:szCs w:val="32"/>
        </w:rPr>
      </w:pPr>
      <w:r w:rsidRPr="007C3638">
        <w:rPr>
          <w:rFonts w:eastAsia="Arial" w:cstheme="minorHAnsi"/>
          <w:color w:val="000000"/>
          <w:spacing w:val="-1"/>
          <w:sz w:val="32"/>
          <w:szCs w:val="32"/>
        </w:rPr>
        <w:tab/>
      </w:r>
      <w:r w:rsidRPr="0093777A">
        <w:rPr>
          <w:rFonts w:eastAsia="Arial" w:cstheme="minorHAnsi"/>
          <w:b/>
          <w:noProof/>
          <w:color w:val="000000"/>
          <w:spacing w:val="-1"/>
          <w:sz w:val="32"/>
          <w:szCs w:val="32"/>
        </w:rPr>
        <w:t>Calculus I</w:t>
      </w:r>
    </w:p>
    <w:p w14:paraId="5098ED48" w14:textId="77777777" w:rsidR="00C81A17" w:rsidRPr="00302CB8" w:rsidRDefault="00C81A17" w:rsidP="006C504A">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2</w:t>
      </w:r>
    </w:p>
    <w:p w14:paraId="15D3CCCF" w14:textId="51369F02" w:rsidR="00C81A17" w:rsidRPr="00302CB8" w:rsidRDefault="00C81A17" w:rsidP="006C504A">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p>
    <w:p w14:paraId="7964D905" w14:textId="77777777" w:rsidR="00C81A17" w:rsidRPr="007C3638" w:rsidRDefault="00C81A17" w:rsidP="006C504A">
      <w:pPr>
        <w:spacing w:before="175" w:line="636" w:lineRule="exact"/>
        <w:ind w:left="1440" w:firstLine="720"/>
        <w:textAlignment w:val="baseline"/>
        <w:rPr>
          <w:rFonts w:eastAsia="Arial" w:cstheme="minorHAnsi"/>
          <w:b/>
          <w:color w:val="000000"/>
          <w:spacing w:val="-1"/>
          <w:sz w:val="32"/>
          <w:szCs w:val="32"/>
        </w:rPr>
      </w:pPr>
    </w:p>
    <w:p w14:paraId="2CE67B05" w14:textId="77777777" w:rsidR="00C81A17" w:rsidRDefault="00C81A17" w:rsidP="006C504A">
      <w:pPr>
        <w:spacing w:before="175" w:line="636" w:lineRule="exact"/>
        <w:ind w:left="1440" w:firstLine="720"/>
        <w:textAlignment w:val="baseline"/>
        <w:rPr>
          <w:rFonts w:eastAsia="Arial" w:cstheme="minorHAnsi"/>
          <w:b/>
          <w:color w:val="000000"/>
          <w:spacing w:val="-1"/>
          <w:sz w:val="32"/>
          <w:szCs w:val="32"/>
        </w:rPr>
      </w:pPr>
    </w:p>
    <w:tbl>
      <w:tblPr>
        <w:tblStyle w:val="TableGrid"/>
        <w:tblW w:w="97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7959"/>
      </w:tblGrid>
      <w:tr w:rsidR="00C81A17" w:rsidRPr="007C3638" w14:paraId="2DA50DBD" w14:textId="77777777" w:rsidTr="0017242C">
        <w:tc>
          <w:tcPr>
            <w:tcW w:w="1744" w:type="dxa"/>
            <w:shd w:val="clear" w:color="auto" w:fill="auto"/>
          </w:tcPr>
          <w:p w14:paraId="212DB6BE" w14:textId="77777777" w:rsidR="00C81A17" w:rsidRPr="007C3638" w:rsidRDefault="00C81A17" w:rsidP="00741670">
            <w:pPr>
              <w:spacing w:before="120" w:after="120"/>
              <w:ind w:right="-57"/>
              <w:rPr>
                <w:rFonts w:ascii="Calibri" w:hAnsi="Calibri"/>
                <w:b/>
                <w:sz w:val="20"/>
                <w:szCs w:val="20"/>
              </w:rPr>
            </w:pPr>
            <w:r w:rsidRPr="007C3638">
              <w:rPr>
                <w:rFonts w:ascii="Calibri" w:hAnsi="Calibri"/>
                <w:b/>
                <w:sz w:val="20"/>
                <w:szCs w:val="20"/>
              </w:rPr>
              <w:lastRenderedPageBreak/>
              <w:t>Unit code</w:t>
            </w:r>
          </w:p>
        </w:tc>
        <w:tc>
          <w:tcPr>
            <w:tcW w:w="7959" w:type="dxa"/>
            <w:shd w:val="clear" w:color="auto" w:fill="auto"/>
          </w:tcPr>
          <w:p w14:paraId="71C85656" w14:textId="77777777" w:rsidR="00C81A17" w:rsidRPr="00AB3A1B" w:rsidRDefault="00C81A17" w:rsidP="00741670">
            <w:pPr>
              <w:spacing w:before="120" w:after="120"/>
              <w:ind w:right="-57"/>
              <w:rPr>
                <w:rFonts w:ascii="Calibri" w:hAnsi="Calibri"/>
                <w:b/>
                <w:sz w:val="20"/>
                <w:szCs w:val="20"/>
              </w:rPr>
            </w:pPr>
            <w:r w:rsidRPr="0093777A">
              <w:rPr>
                <w:rFonts w:ascii="Calibri" w:hAnsi="Calibri"/>
                <w:b/>
                <w:noProof/>
                <w:sz w:val="20"/>
                <w:szCs w:val="20"/>
              </w:rPr>
              <w:t>MT111</w:t>
            </w:r>
          </w:p>
        </w:tc>
      </w:tr>
      <w:tr w:rsidR="00C81A17" w:rsidRPr="007C3638" w14:paraId="42178D80" w14:textId="77777777" w:rsidTr="0017242C">
        <w:tc>
          <w:tcPr>
            <w:tcW w:w="1744" w:type="dxa"/>
            <w:shd w:val="clear" w:color="auto" w:fill="auto"/>
          </w:tcPr>
          <w:p w14:paraId="300CE61A" w14:textId="77777777" w:rsidR="00C81A17" w:rsidRPr="007C3638" w:rsidRDefault="00C81A17" w:rsidP="00741670">
            <w:pPr>
              <w:spacing w:before="120" w:after="120"/>
              <w:ind w:right="-57"/>
              <w:rPr>
                <w:rFonts w:ascii="Calibri" w:hAnsi="Calibri"/>
                <w:b/>
                <w:sz w:val="20"/>
                <w:szCs w:val="20"/>
              </w:rPr>
            </w:pPr>
            <w:r w:rsidRPr="007C3638">
              <w:rPr>
                <w:rFonts w:ascii="Calibri" w:hAnsi="Calibri"/>
                <w:b/>
                <w:sz w:val="20"/>
                <w:szCs w:val="20"/>
              </w:rPr>
              <w:t>Unit name</w:t>
            </w:r>
          </w:p>
        </w:tc>
        <w:tc>
          <w:tcPr>
            <w:tcW w:w="7959" w:type="dxa"/>
            <w:shd w:val="clear" w:color="auto" w:fill="auto"/>
          </w:tcPr>
          <w:p w14:paraId="79E43022" w14:textId="77777777" w:rsidR="00C81A17" w:rsidRPr="00AB3A1B" w:rsidRDefault="00C81A17" w:rsidP="004348BE">
            <w:pPr>
              <w:spacing w:before="120" w:after="120"/>
              <w:ind w:right="-57"/>
              <w:rPr>
                <w:rFonts w:ascii="Calibri" w:hAnsi="Calibri"/>
                <w:b/>
                <w:sz w:val="20"/>
                <w:szCs w:val="20"/>
              </w:rPr>
            </w:pPr>
            <w:r w:rsidRPr="0093777A">
              <w:rPr>
                <w:rFonts w:ascii="Calibri" w:hAnsi="Calibri"/>
                <w:b/>
                <w:noProof/>
                <w:sz w:val="20"/>
                <w:szCs w:val="20"/>
              </w:rPr>
              <w:t>Calculus I</w:t>
            </w:r>
          </w:p>
        </w:tc>
      </w:tr>
      <w:tr w:rsidR="00C81A17" w:rsidRPr="007C3638" w14:paraId="64EFBFA9" w14:textId="77777777" w:rsidTr="0017242C">
        <w:tc>
          <w:tcPr>
            <w:tcW w:w="1744" w:type="dxa"/>
            <w:shd w:val="clear" w:color="auto" w:fill="auto"/>
          </w:tcPr>
          <w:p w14:paraId="1C9C38CD" w14:textId="77777777" w:rsidR="00C81A17" w:rsidRPr="007C3638" w:rsidRDefault="00C81A17" w:rsidP="00741670">
            <w:pPr>
              <w:spacing w:before="120" w:after="120"/>
              <w:ind w:right="-57"/>
              <w:rPr>
                <w:rFonts w:ascii="Calibri" w:hAnsi="Calibri"/>
                <w:b/>
                <w:sz w:val="20"/>
                <w:szCs w:val="20"/>
              </w:rPr>
            </w:pPr>
            <w:r w:rsidRPr="007C3638">
              <w:rPr>
                <w:rFonts w:ascii="Calibri" w:hAnsi="Calibri"/>
                <w:b/>
                <w:sz w:val="20"/>
                <w:szCs w:val="20"/>
              </w:rPr>
              <w:t>Associated higher education awards</w:t>
            </w:r>
          </w:p>
        </w:tc>
        <w:tc>
          <w:tcPr>
            <w:tcW w:w="7959" w:type="dxa"/>
            <w:shd w:val="clear" w:color="auto" w:fill="auto"/>
          </w:tcPr>
          <w:p w14:paraId="303BC706" w14:textId="77777777" w:rsidR="00C81A17" w:rsidRDefault="00C81A17" w:rsidP="005B0D67">
            <w:pPr>
              <w:spacing w:before="120" w:after="120"/>
              <w:ind w:right="-57"/>
              <w:rPr>
                <w:sz w:val="20"/>
                <w:szCs w:val="20"/>
              </w:rPr>
            </w:pPr>
            <w:r w:rsidRPr="0093777A">
              <w:rPr>
                <w:noProof/>
                <w:sz w:val="20"/>
                <w:szCs w:val="20"/>
              </w:rPr>
              <w:t>Bachelor of Education (Primary)</w:t>
            </w:r>
          </w:p>
          <w:p w14:paraId="004EEDA7" w14:textId="77777777" w:rsidR="00C81A17" w:rsidRDefault="00C81A17" w:rsidP="006072B1">
            <w:pPr>
              <w:spacing w:after="120"/>
              <w:ind w:right="-57"/>
              <w:rPr>
                <w:sz w:val="20"/>
                <w:szCs w:val="20"/>
              </w:rPr>
            </w:pPr>
            <w:r w:rsidRPr="0093777A">
              <w:rPr>
                <w:noProof/>
                <w:sz w:val="20"/>
                <w:szCs w:val="20"/>
              </w:rPr>
              <w:t>Bachelor of Education (Secondary)</w:t>
            </w:r>
          </w:p>
          <w:p w14:paraId="6EFFC32E" w14:textId="77777777" w:rsidR="00C81A17" w:rsidRPr="007C3638" w:rsidRDefault="00C81A17" w:rsidP="006072B1">
            <w:pPr>
              <w:spacing w:after="120"/>
              <w:ind w:right="-57"/>
              <w:rPr>
                <w:sz w:val="20"/>
                <w:szCs w:val="20"/>
              </w:rPr>
            </w:pPr>
            <w:r w:rsidRPr="0093777A">
              <w:rPr>
                <w:noProof/>
                <w:sz w:val="20"/>
                <w:szCs w:val="20"/>
              </w:rPr>
              <w:t>Bachelor of Arts/Bachelor of Education (Secondary)</w:t>
            </w:r>
          </w:p>
        </w:tc>
      </w:tr>
      <w:tr w:rsidR="00C81A17" w:rsidRPr="007C3638" w14:paraId="3B863635" w14:textId="77777777" w:rsidTr="0017242C">
        <w:tc>
          <w:tcPr>
            <w:tcW w:w="1744" w:type="dxa"/>
            <w:shd w:val="clear" w:color="auto" w:fill="auto"/>
          </w:tcPr>
          <w:p w14:paraId="5C9899AC" w14:textId="77777777" w:rsidR="00C81A17" w:rsidRPr="007C3638" w:rsidRDefault="00C81A17" w:rsidP="00741670">
            <w:pPr>
              <w:spacing w:before="120" w:after="120"/>
              <w:ind w:right="-57"/>
              <w:rPr>
                <w:rFonts w:ascii="Calibri" w:hAnsi="Calibri"/>
                <w:b/>
                <w:sz w:val="20"/>
                <w:szCs w:val="20"/>
              </w:rPr>
            </w:pPr>
            <w:r w:rsidRPr="007C3638">
              <w:rPr>
                <w:rFonts w:ascii="Calibri" w:hAnsi="Calibri"/>
                <w:b/>
                <w:sz w:val="20"/>
                <w:szCs w:val="20"/>
              </w:rPr>
              <w:t>Duration</w:t>
            </w:r>
          </w:p>
        </w:tc>
        <w:tc>
          <w:tcPr>
            <w:tcW w:w="7959" w:type="dxa"/>
            <w:shd w:val="clear" w:color="auto" w:fill="auto"/>
          </w:tcPr>
          <w:p w14:paraId="654C4F2C" w14:textId="77777777" w:rsidR="00C81A17" w:rsidRPr="007C3638" w:rsidRDefault="00C81A17" w:rsidP="00741670">
            <w:pPr>
              <w:spacing w:before="120" w:after="120"/>
              <w:ind w:right="-57"/>
              <w:rPr>
                <w:rFonts w:ascii="Calibri" w:hAnsi="Calibri"/>
                <w:sz w:val="20"/>
                <w:szCs w:val="20"/>
              </w:rPr>
            </w:pPr>
            <w:r w:rsidRPr="0093777A">
              <w:rPr>
                <w:rFonts w:ascii="Calibri" w:eastAsia="Calibri" w:hAnsi="Calibri"/>
                <w:noProof/>
                <w:sz w:val="20"/>
                <w:szCs w:val="20"/>
              </w:rPr>
              <w:t>One Semester</w:t>
            </w:r>
          </w:p>
        </w:tc>
      </w:tr>
      <w:tr w:rsidR="00C81A17" w:rsidRPr="007C3638" w14:paraId="07A27AC4" w14:textId="77777777" w:rsidTr="0017242C">
        <w:tc>
          <w:tcPr>
            <w:tcW w:w="1744" w:type="dxa"/>
            <w:shd w:val="clear" w:color="auto" w:fill="auto"/>
          </w:tcPr>
          <w:p w14:paraId="26DA6653" w14:textId="77777777" w:rsidR="00C81A17" w:rsidRPr="007C3638" w:rsidRDefault="00C81A17" w:rsidP="00741670">
            <w:pPr>
              <w:spacing w:before="120" w:after="120"/>
              <w:ind w:right="-57"/>
              <w:rPr>
                <w:rFonts w:ascii="Calibri" w:hAnsi="Calibri"/>
                <w:b/>
                <w:sz w:val="20"/>
                <w:szCs w:val="20"/>
              </w:rPr>
            </w:pPr>
            <w:r w:rsidRPr="007C3638">
              <w:rPr>
                <w:rFonts w:ascii="Calibri" w:hAnsi="Calibri"/>
                <w:b/>
                <w:sz w:val="20"/>
                <w:szCs w:val="20"/>
              </w:rPr>
              <w:t>Level</w:t>
            </w:r>
          </w:p>
        </w:tc>
        <w:tc>
          <w:tcPr>
            <w:tcW w:w="7959" w:type="dxa"/>
            <w:shd w:val="clear" w:color="auto" w:fill="auto"/>
          </w:tcPr>
          <w:p w14:paraId="2394342D" w14:textId="77777777" w:rsidR="00C81A17" w:rsidRPr="007C3638" w:rsidRDefault="00C81A17" w:rsidP="00603319">
            <w:pPr>
              <w:spacing w:before="120" w:after="120"/>
              <w:ind w:right="-57"/>
              <w:rPr>
                <w:rFonts w:ascii="Calibri" w:hAnsi="Calibri"/>
                <w:sz w:val="20"/>
                <w:szCs w:val="20"/>
              </w:rPr>
            </w:pPr>
            <w:r w:rsidRPr="0093777A">
              <w:rPr>
                <w:rFonts w:ascii="Calibri" w:eastAsia="Calibri" w:hAnsi="Calibri"/>
                <w:noProof/>
                <w:sz w:val="20"/>
                <w:szCs w:val="20"/>
              </w:rPr>
              <w:t>Introductory</w:t>
            </w:r>
          </w:p>
        </w:tc>
      </w:tr>
      <w:tr w:rsidR="00C81A17" w:rsidRPr="007C3638" w14:paraId="4A4534D6" w14:textId="77777777" w:rsidTr="0017242C">
        <w:tc>
          <w:tcPr>
            <w:tcW w:w="1744" w:type="dxa"/>
            <w:shd w:val="clear" w:color="auto" w:fill="auto"/>
          </w:tcPr>
          <w:p w14:paraId="7F4C7190" w14:textId="77777777" w:rsidR="00C81A17" w:rsidRPr="007C3638" w:rsidRDefault="00C81A17" w:rsidP="00741670">
            <w:pPr>
              <w:spacing w:before="120" w:after="120"/>
              <w:ind w:right="-57"/>
              <w:rPr>
                <w:rFonts w:ascii="Calibri" w:hAnsi="Calibri"/>
                <w:b/>
                <w:sz w:val="20"/>
                <w:szCs w:val="20"/>
              </w:rPr>
            </w:pPr>
            <w:r w:rsidRPr="007C3638">
              <w:rPr>
                <w:rFonts w:ascii="Calibri" w:hAnsi="Calibri"/>
                <w:b/>
                <w:sz w:val="20"/>
                <w:szCs w:val="20"/>
              </w:rPr>
              <w:t>Unit coordinator</w:t>
            </w:r>
          </w:p>
        </w:tc>
        <w:tc>
          <w:tcPr>
            <w:tcW w:w="7959" w:type="dxa"/>
            <w:shd w:val="clear" w:color="auto" w:fill="auto"/>
          </w:tcPr>
          <w:p w14:paraId="32ADA2A4" w14:textId="77777777" w:rsidR="00C81A17" w:rsidRPr="007C3638" w:rsidRDefault="00C81A17" w:rsidP="00FD3CFC">
            <w:pPr>
              <w:spacing w:before="120" w:after="120"/>
              <w:ind w:right="-57"/>
              <w:rPr>
                <w:rFonts w:ascii="Calibri" w:hAnsi="Calibri"/>
                <w:sz w:val="20"/>
                <w:szCs w:val="20"/>
              </w:rPr>
            </w:pPr>
          </w:p>
        </w:tc>
      </w:tr>
      <w:tr w:rsidR="00C81A17" w:rsidRPr="007C3638" w14:paraId="18968668" w14:textId="77777777" w:rsidTr="0017242C">
        <w:tc>
          <w:tcPr>
            <w:tcW w:w="1744" w:type="dxa"/>
            <w:shd w:val="clear" w:color="auto" w:fill="auto"/>
          </w:tcPr>
          <w:p w14:paraId="5C08C59D" w14:textId="77777777" w:rsidR="00C81A17" w:rsidRPr="007C3638" w:rsidRDefault="00C81A17" w:rsidP="00741670">
            <w:pPr>
              <w:spacing w:before="120" w:after="120"/>
              <w:ind w:right="-57"/>
              <w:rPr>
                <w:rFonts w:ascii="Calibri" w:hAnsi="Calibri"/>
                <w:b/>
                <w:sz w:val="20"/>
                <w:szCs w:val="20"/>
              </w:rPr>
            </w:pPr>
            <w:r w:rsidRPr="007C3638">
              <w:rPr>
                <w:rFonts w:ascii="Calibri" w:hAnsi="Calibri"/>
                <w:b/>
                <w:sz w:val="20"/>
                <w:szCs w:val="20"/>
              </w:rPr>
              <w:t>Core/elective</w:t>
            </w:r>
          </w:p>
        </w:tc>
        <w:tc>
          <w:tcPr>
            <w:tcW w:w="7959" w:type="dxa"/>
            <w:shd w:val="clear" w:color="auto" w:fill="auto"/>
          </w:tcPr>
          <w:p w14:paraId="57920A00" w14:textId="77777777" w:rsidR="00C81A17" w:rsidRPr="007C3638" w:rsidRDefault="00C81A17" w:rsidP="00741670">
            <w:pPr>
              <w:spacing w:before="120" w:after="120"/>
              <w:ind w:right="-57"/>
              <w:rPr>
                <w:rFonts w:ascii="Calibri" w:hAnsi="Calibri"/>
                <w:sz w:val="20"/>
                <w:szCs w:val="20"/>
              </w:rPr>
            </w:pPr>
            <w:r w:rsidRPr="0093777A">
              <w:rPr>
                <w:rFonts w:ascii="Calibri" w:hAnsi="Calibri"/>
                <w:noProof/>
                <w:sz w:val="20"/>
                <w:szCs w:val="20"/>
              </w:rPr>
              <w:t>Core</w:t>
            </w:r>
          </w:p>
        </w:tc>
      </w:tr>
      <w:tr w:rsidR="00C81A17" w:rsidRPr="007C3638" w14:paraId="73F98940" w14:textId="77777777" w:rsidTr="0017242C">
        <w:tc>
          <w:tcPr>
            <w:tcW w:w="1744" w:type="dxa"/>
            <w:shd w:val="clear" w:color="auto" w:fill="auto"/>
          </w:tcPr>
          <w:p w14:paraId="61AF068A" w14:textId="77777777" w:rsidR="00C81A17" w:rsidRPr="008E6725" w:rsidRDefault="00C81A17" w:rsidP="00741670">
            <w:pPr>
              <w:spacing w:before="120" w:after="120"/>
              <w:ind w:right="-57"/>
              <w:rPr>
                <w:rFonts w:ascii="Calibri" w:hAnsi="Calibri"/>
                <w:b/>
                <w:sz w:val="20"/>
                <w:szCs w:val="20"/>
              </w:rPr>
            </w:pPr>
            <w:r w:rsidRPr="008E6725">
              <w:rPr>
                <w:rFonts w:ascii="Calibri" w:hAnsi="Calibri"/>
                <w:b/>
                <w:sz w:val="20"/>
                <w:szCs w:val="20"/>
              </w:rPr>
              <w:t>Weighting</w:t>
            </w:r>
          </w:p>
        </w:tc>
        <w:tc>
          <w:tcPr>
            <w:tcW w:w="7959" w:type="dxa"/>
            <w:shd w:val="clear" w:color="auto" w:fill="auto"/>
          </w:tcPr>
          <w:p w14:paraId="129AD645" w14:textId="77777777" w:rsidR="00C81A17" w:rsidRPr="008E6725" w:rsidRDefault="00C81A17" w:rsidP="00741670">
            <w:pPr>
              <w:tabs>
                <w:tab w:val="left" w:pos="1986"/>
              </w:tabs>
              <w:spacing w:before="120" w:after="120"/>
              <w:ind w:right="-57"/>
              <w:rPr>
                <w:sz w:val="20"/>
                <w:szCs w:val="20"/>
              </w:rPr>
            </w:pPr>
            <w:r w:rsidRPr="008E6725">
              <w:rPr>
                <w:sz w:val="20"/>
                <w:szCs w:val="20"/>
              </w:rPr>
              <w:t>Unit credit points:</w:t>
            </w:r>
            <w:r w:rsidRPr="008E6725">
              <w:rPr>
                <w:sz w:val="20"/>
                <w:szCs w:val="20"/>
              </w:rPr>
              <w:tab/>
              <w:t>10</w:t>
            </w:r>
          </w:p>
          <w:p w14:paraId="591ACB63" w14:textId="77777777" w:rsidR="00C81A17" w:rsidRPr="008E6725" w:rsidRDefault="00C81A17" w:rsidP="00A02648">
            <w:pPr>
              <w:tabs>
                <w:tab w:val="left" w:pos="1986"/>
              </w:tabs>
              <w:spacing w:before="120"/>
              <w:ind w:right="-57"/>
              <w:rPr>
                <w:sz w:val="20"/>
                <w:szCs w:val="20"/>
              </w:rPr>
            </w:pPr>
            <w:r w:rsidRPr="008E6725">
              <w:rPr>
                <w:sz w:val="20"/>
                <w:szCs w:val="20"/>
              </w:rPr>
              <w:t>Course credit points:</w:t>
            </w:r>
            <w:r w:rsidRPr="008E6725">
              <w:rPr>
                <w:sz w:val="20"/>
                <w:szCs w:val="20"/>
              </w:rPr>
              <w:tab/>
            </w:r>
            <w:r w:rsidRPr="0093777A">
              <w:rPr>
                <w:noProof/>
                <w:sz w:val="20"/>
                <w:szCs w:val="20"/>
              </w:rPr>
              <w:t>320 - Bachelor of Education (Secondary)</w:t>
            </w:r>
          </w:p>
        </w:tc>
      </w:tr>
      <w:tr w:rsidR="00C81A17" w:rsidRPr="007C3638" w14:paraId="00A4CD13" w14:textId="77777777" w:rsidTr="0017242C">
        <w:tc>
          <w:tcPr>
            <w:tcW w:w="1744" w:type="dxa"/>
            <w:shd w:val="clear" w:color="auto" w:fill="auto"/>
          </w:tcPr>
          <w:p w14:paraId="471358DB" w14:textId="77777777" w:rsidR="00C81A17" w:rsidRPr="007C3638" w:rsidRDefault="00C81A17" w:rsidP="00741670">
            <w:pPr>
              <w:spacing w:before="120" w:after="120"/>
              <w:ind w:right="-57"/>
              <w:rPr>
                <w:rFonts w:ascii="Calibri" w:hAnsi="Calibri"/>
                <w:b/>
                <w:sz w:val="20"/>
                <w:szCs w:val="20"/>
              </w:rPr>
            </w:pPr>
            <w:r w:rsidRPr="007C3638">
              <w:rPr>
                <w:rFonts w:ascii="Calibri" w:hAnsi="Calibri"/>
                <w:b/>
                <w:sz w:val="20"/>
                <w:szCs w:val="20"/>
              </w:rPr>
              <w:t>Delivery mode</w:t>
            </w:r>
          </w:p>
        </w:tc>
        <w:tc>
          <w:tcPr>
            <w:tcW w:w="7959" w:type="dxa"/>
            <w:shd w:val="clear" w:color="auto" w:fill="auto"/>
          </w:tcPr>
          <w:p w14:paraId="4C44A618" w14:textId="77777777" w:rsidR="00C81A17" w:rsidRPr="007C3638" w:rsidRDefault="00C81A17" w:rsidP="0017242C">
            <w:pPr>
              <w:spacing w:before="120" w:after="120"/>
              <w:ind w:right="-57"/>
              <w:rPr>
                <w:rFonts w:eastAsia="Calibri" w:cs="Times New Roman"/>
                <w:noProof/>
                <w:sz w:val="20"/>
                <w:szCs w:val="20"/>
              </w:rPr>
            </w:pPr>
            <w:r w:rsidRPr="0093777A">
              <w:rPr>
                <w:rFonts w:eastAsia="Calibri" w:cs="Times New Roman"/>
                <w:noProof/>
                <w:sz w:val="20"/>
                <w:szCs w:val="20"/>
              </w:rPr>
              <w:t>Face-to-face</w:t>
            </w:r>
          </w:p>
        </w:tc>
      </w:tr>
      <w:tr w:rsidR="00C81A17" w:rsidRPr="007C3638" w14:paraId="59CE4F07" w14:textId="77777777" w:rsidTr="0017242C">
        <w:trPr>
          <w:trHeight w:val="270"/>
        </w:trPr>
        <w:tc>
          <w:tcPr>
            <w:tcW w:w="1744" w:type="dxa"/>
            <w:vMerge w:val="restart"/>
            <w:shd w:val="clear" w:color="auto" w:fill="auto"/>
          </w:tcPr>
          <w:p w14:paraId="4D5C0A06" w14:textId="77777777" w:rsidR="00C81A17" w:rsidRPr="008E6725" w:rsidRDefault="00C81A17" w:rsidP="00741670">
            <w:pPr>
              <w:spacing w:before="120" w:after="120"/>
              <w:ind w:right="-57"/>
              <w:rPr>
                <w:rFonts w:ascii="Calibri" w:hAnsi="Calibri"/>
                <w:b/>
                <w:sz w:val="20"/>
                <w:szCs w:val="20"/>
              </w:rPr>
            </w:pPr>
            <w:r w:rsidRPr="008E6725">
              <w:rPr>
                <w:rFonts w:ascii="Calibri" w:hAnsi="Calibri"/>
                <w:b/>
                <w:sz w:val="20"/>
                <w:szCs w:val="20"/>
              </w:rPr>
              <w:t>Student workload</w:t>
            </w:r>
          </w:p>
        </w:tc>
        <w:tc>
          <w:tcPr>
            <w:tcW w:w="7959" w:type="dxa"/>
            <w:shd w:val="clear" w:color="auto" w:fill="auto"/>
          </w:tcPr>
          <w:p w14:paraId="5EF963E4" w14:textId="77777777" w:rsidR="00C81A17" w:rsidRPr="008E6725" w:rsidRDefault="00C81A17" w:rsidP="00777383">
            <w:pPr>
              <w:pStyle w:val="UnitText"/>
              <w:tabs>
                <w:tab w:val="right" w:pos="3664"/>
              </w:tabs>
              <w:ind w:right="-57"/>
              <w:contextualSpacing/>
              <w:jc w:val="left"/>
              <w:rPr>
                <w:rFonts w:asciiTheme="minorHAnsi" w:eastAsia="Calibri" w:hAnsiTheme="minorHAnsi" w:cs="Arial"/>
                <w:b/>
                <w:szCs w:val="20"/>
              </w:rPr>
            </w:pPr>
            <w:r w:rsidRPr="008E6725">
              <w:rPr>
                <w:rFonts w:asciiTheme="minorHAnsi" w:eastAsia="Calibri" w:hAnsiTheme="minorHAnsi" w:cs="Arial"/>
                <w:szCs w:val="20"/>
              </w:rPr>
              <w:t>Contact hours</w:t>
            </w:r>
            <w:r>
              <w:rPr>
                <w:rFonts w:asciiTheme="minorHAnsi" w:eastAsia="Calibri" w:hAnsiTheme="minorHAnsi" w:cs="Arial"/>
                <w:szCs w:val="20"/>
              </w:rPr>
              <w:t>/Directed Study</w:t>
            </w:r>
            <w:r w:rsidRPr="008E6725">
              <w:rPr>
                <w:rFonts w:asciiTheme="minorHAnsi" w:eastAsia="Calibri" w:hAnsiTheme="minorHAnsi" w:cs="Arial"/>
                <w:szCs w:val="20"/>
              </w:rPr>
              <w:t xml:space="preserve">            30 hours </w:t>
            </w:r>
          </w:p>
          <w:p w14:paraId="207A13B9" w14:textId="77777777" w:rsidR="00C81A17" w:rsidRPr="008E6725" w:rsidRDefault="00C81A17" w:rsidP="00CF0C96">
            <w:pPr>
              <w:pStyle w:val="UnitText"/>
              <w:tabs>
                <w:tab w:val="right" w:pos="3677"/>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Reading, study, preparation</w:t>
            </w:r>
            <w:r w:rsidRPr="008E6725">
              <w:rPr>
                <w:rFonts w:asciiTheme="minorHAnsi" w:eastAsia="Calibri" w:hAnsiTheme="minorHAnsi" w:cs="Arial"/>
                <w:szCs w:val="20"/>
              </w:rPr>
              <w:tab/>
              <w:t xml:space="preserve">50 hours </w:t>
            </w:r>
          </w:p>
          <w:p w14:paraId="06535748" w14:textId="77777777" w:rsidR="00C81A17" w:rsidRPr="008E6725" w:rsidRDefault="00C81A17" w:rsidP="00777383">
            <w:pPr>
              <w:pStyle w:val="UnitText"/>
              <w:tabs>
                <w:tab w:val="right" w:pos="3664"/>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Assignment preparation</w:t>
            </w:r>
            <w:r w:rsidRPr="008E6725">
              <w:rPr>
                <w:rFonts w:asciiTheme="minorHAnsi" w:eastAsia="Calibri" w:hAnsiTheme="minorHAnsi" w:cs="Arial"/>
                <w:szCs w:val="20"/>
              </w:rPr>
              <w:tab/>
              <w:t>70 hours</w:t>
            </w:r>
          </w:p>
          <w:p w14:paraId="46482C0A" w14:textId="77777777" w:rsidR="00C81A17" w:rsidRPr="008E6725" w:rsidRDefault="00C81A17" w:rsidP="0017242C">
            <w:pPr>
              <w:pStyle w:val="UnitText"/>
              <w:tabs>
                <w:tab w:val="right" w:pos="4854"/>
              </w:tabs>
              <w:spacing w:after="0"/>
              <w:ind w:right="-57"/>
              <w:contextualSpacing/>
              <w:jc w:val="left"/>
              <w:rPr>
                <w:rFonts w:asciiTheme="minorHAnsi" w:eastAsia="Calibri" w:hAnsiTheme="minorHAnsi" w:cs="Arial"/>
                <w:b/>
                <w:bCs/>
                <w:szCs w:val="20"/>
              </w:rPr>
            </w:pPr>
            <w:r w:rsidRPr="008E6725">
              <w:rPr>
                <w:rFonts w:asciiTheme="minorHAnsi" w:eastAsia="Calibri" w:hAnsiTheme="minorHAnsi" w:cs="Arial"/>
                <w:b/>
                <w:bCs/>
                <w:szCs w:val="20"/>
              </w:rPr>
              <w:t>TOTAL                                                   150 hours</w:t>
            </w:r>
          </w:p>
        </w:tc>
      </w:tr>
      <w:tr w:rsidR="00C81A17" w:rsidRPr="007C3638" w14:paraId="4D137D86" w14:textId="77777777" w:rsidTr="0017242C">
        <w:tc>
          <w:tcPr>
            <w:tcW w:w="1744" w:type="dxa"/>
            <w:vMerge/>
            <w:shd w:val="clear" w:color="auto" w:fill="auto"/>
          </w:tcPr>
          <w:p w14:paraId="5ABA9FC0" w14:textId="77777777" w:rsidR="00C81A17" w:rsidRPr="007C3638" w:rsidRDefault="00C81A17" w:rsidP="00741670">
            <w:pPr>
              <w:spacing w:before="120" w:after="120"/>
              <w:ind w:right="-57"/>
              <w:rPr>
                <w:rFonts w:ascii="Calibri" w:hAnsi="Calibri"/>
                <w:b/>
                <w:sz w:val="20"/>
                <w:szCs w:val="20"/>
              </w:rPr>
            </w:pPr>
          </w:p>
        </w:tc>
        <w:tc>
          <w:tcPr>
            <w:tcW w:w="7959" w:type="dxa"/>
            <w:shd w:val="clear" w:color="auto" w:fill="auto"/>
          </w:tcPr>
          <w:p w14:paraId="448F6B48" w14:textId="77777777" w:rsidR="00C81A17" w:rsidRPr="007C3638" w:rsidRDefault="00C81A17" w:rsidP="00741670">
            <w:pPr>
              <w:spacing w:before="120" w:after="120"/>
              <w:ind w:right="-57"/>
              <w:rPr>
                <w:rFonts w:ascii="Calibri" w:hAnsi="Calibri"/>
                <w:sz w:val="20"/>
                <w:szCs w:val="20"/>
              </w:rPr>
            </w:pPr>
            <w:r w:rsidRPr="007C3638">
              <w:rPr>
                <w:rFonts w:ascii="Calibri" w:eastAsia="Calibri" w:hAnsi="Calibri"/>
                <w:sz w:val="20"/>
                <w:szCs w:val="20"/>
              </w:rPr>
              <w:t xml:space="preserve">Students requiring additional English language support are expected to undertake an additional </w:t>
            </w:r>
            <w:r w:rsidRPr="007C3638">
              <w:rPr>
                <w:rFonts w:ascii="Calibri" w:eastAsia="Calibri" w:hAnsi="Calibri"/>
                <w:noProof/>
                <w:sz w:val="20"/>
                <w:szCs w:val="20"/>
              </w:rPr>
              <w:t>one</w:t>
            </w:r>
            <w:r w:rsidRPr="007C3638">
              <w:rPr>
                <w:rFonts w:ascii="Calibri" w:eastAsia="Calibri" w:hAnsi="Calibri"/>
                <w:sz w:val="20"/>
                <w:szCs w:val="20"/>
              </w:rPr>
              <w:t xml:space="preserve"> hour per week.</w:t>
            </w:r>
          </w:p>
        </w:tc>
      </w:tr>
      <w:tr w:rsidR="00C81A17" w:rsidRPr="007C3638" w14:paraId="115023C8" w14:textId="77777777" w:rsidTr="0017242C">
        <w:tc>
          <w:tcPr>
            <w:tcW w:w="1744" w:type="dxa"/>
            <w:shd w:val="clear" w:color="auto" w:fill="auto"/>
          </w:tcPr>
          <w:p w14:paraId="7FC36BBF" w14:textId="77777777" w:rsidR="00C81A17" w:rsidRPr="007C3638" w:rsidRDefault="00C81A17" w:rsidP="00741670">
            <w:pPr>
              <w:spacing w:before="120" w:after="120"/>
              <w:ind w:right="-57"/>
              <w:rPr>
                <w:rFonts w:ascii="Calibri" w:hAnsi="Calibri"/>
                <w:b/>
                <w:sz w:val="20"/>
                <w:szCs w:val="20"/>
              </w:rPr>
            </w:pPr>
            <w:r w:rsidRPr="007C3638">
              <w:rPr>
                <w:rFonts w:ascii="Calibri" w:eastAsia="Calibri" w:hAnsi="Calibri" w:cs="Times New Roman"/>
                <w:b/>
                <w:sz w:val="20"/>
                <w:szCs w:val="20"/>
              </w:rPr>
              <w:t>Prerequisites/    co-requisites/ restrictions</w:t>
            </w:r>
          </w:p>
        </w:tc>
        <w:tc>
          <w:tcPr>
            <w:tcW w:w="7959" w:type="dxa"/>
            <w:shd w:val="clear" w:color="auto" w:fill="auto"/>
            <w:vAlign w:val="center"/>
          </w:tcPr>
          <w:p w14:paraId="07097813" w14:textId="77777777" w:rsidR="00C81A17" w:rsidRPr="007C3638" w:rsidRDefault="00C81A17" w:rsidP="006D21F3">
            <w:pPr>
              <w:spacing w:before="120" w:after="120"/>
              <w:ind w:right="-57"/>
              <w:rPr>
                <w:rFonts w:ascii="Calibri" w:hAnsi="Calibri"/>
                <w:sz w:val="20"/>
                <w:szCs w:val="20"/>
              </w:rPr>
            </w:pPr>
            <w:r w:rsidRPr="0093777A">
              <w:rPr>
                <w:rFonts w:ascii="Calibri" w:hAnsi="Calibri"/>
                <w:noProof/>
                <w:sz w:val="20"/>
                <w:szCs w:val="20"/>
              </w:rPr>
              <w:t>Nil.</w:t>
            </w:r>
          </w:p>
        </w:tc>
      </w:tr>
      <w:tr w:rsidR="00C81A17" w:rsidRPr="007C3638" w14:paraId="53F4647B" w14:textId="77777777" w:rsidTr="0017242C">
        <w:tc>
          <w:tcPr>
            <w:tcW w:w="1744" w:type="dxa"/>
            <w:shd w:val="clear" w:color="auto" w:fill="auto"/>
          </w:tcPr>
          <w:p w14:paraId="4A796FF2" w14:textId="77777777" w:rsidR="00C81A17" w:rsidRPr="007C3638" w:rsidRDefault="00C81A17" w:rsidP="00741670">
            <w:pPr>
              <w:spacing w:before="120" w:after="120"/>
              <w:ind w:right="-57"/>
              <w:rPr>
                <w:rFonts w:ascii="Calibri" w:hAnsi="Calibri"/>
                <w:b/>
                <w:sz w:val="20"/>
                <w:szCs w:val="20"/>
              </w:rPr>
            </w:pPr>
            <w:r w:rsidRPr="007C3638">
              <w:rPr>
                <w:rFonts w:ascii="Calibri" w:eastAsia="Calibri" w:hAnsi="Calibri" w:cs="Times New Roman"/>
                <w:b/>
                <w:sz w:val="20"/>
                <w:szCs w:val="20"/>
              </w:rPr>
              <w:t>Rationale</w:t>
            </w:r>
          </w:p>
        </w:tc>
        <w:tc>
          <w:tcPr>
            <w:tcW w:w="7959" w:type="dxa"/>
            <w:shd w:val="clear" w:color="auto" w:fill="auto"/>
          </w:tcPr>
          <w:p w14:paraId="2FC86AE9" w14:textId="77777777" w:rsidR="00C81A17" w:rsidRPr="00AB3A1B" w:rsidRDefault="00C81A17" w:rsidP="00AB3A1B">
            <w:pPr>
              <w:spacing w:before="120" w:after="120"/>
              <w:ind w:right="-57"/>
              <w:rPr>
                <w:rFonts w:ascii="Calibri" w:hAnsi="Calibri"/>
                <w:i/>
                <w:sz w:val="20"/>
                <w:szCs w:val="20"/>
              </w:rPr>
            </w:pPr>
            <w:r w:rsidRPr="00AB3A1B">
              <w:rPr>
                <w:rFonts w:ascii="Calibri" w:hAnsi="Calibri"/>
                <w:b/>
                <w:i/>
                <w:sz w:val="20"/>
                <w:szCs w:val="20"/>
              </w:rPr>
              <w:t>Enduring Understanding</w:t>
            </w:r>
            <w:r>
              <w:rPr>
                <w:rFonts w:ascii="Calibri" w:hAnsi="Calibri"/>
                <w:i/>
                <w:sz w:val="20"/>
                <w:szCs w:val="20"/>
              </w:rPr>
              <w:t>:</w:t>
            </w:r>
          </w:p>
          <w:p w14:paraId="36BA37E0" w14:textId="77777777" w:rsidR="00C81A17" w:rsidRPr="0093777A" w:rsidRDefault="00C81A17" w:rsidP="007F5390">
            <w:pPr>
              <w:spacing w:before="120" w:after="120"/>
              <w:rPr>
                <w:rFonts w:ascii="Calibri" w:hAnsi="Calibri"/>
                <w:noProof/>
                <w:sz w:val="20"/>
                <w:szCs w:val="20"/>
              </w:rPr>
            </w:pPr>
            <w:r w:rsidRPr="0093777A">
              <w:rPr>
                <w:rFonts w:ascii="Calibri" w:hAnsi="Calibri"/>
                <w:noProof/>
                <w:sz w:val="20"/>
                <w:szCs w:val="20"/>
              </w:rPr>
              <w:t>According to the The Mathematics? Why Not? Report, prepared by the Australian Association of Mathematics Teachers and the University of New England, a key factor that deters students from studying higher level mathematics in senior secondary years is the large number of secondary teachers who are teaching mathematics outside their training and expertise. The authors state, “More than one-quarter of our junior secondary mathematics teachers have not even completed one year of university study in mathematics, making it difficult to engage students in a potentially demanding subject.”</w:t>
            </w:r>
          </w:p>
          <w:p w14:paraId="20FE4DF1" w14:textId="77777777" w:rsidR="00C81A17" w:rsidRPr="0093777A" w:rsidRDefault="00C81A17" w:rsidP="007F5390">
            <w:pPr>
              <w:spacing w:before="120" w:after="120"/>
              <w:rPr>
                <w:rFonts w:ascii="Calibri" w:hAnsi="Calibri"/>
                <w:noProof/>
                <w:sz w:val="20"/>
                <w:szCs w:val="20"/>
              </w:rPr>
            </w:pPr>
            <w:r w:rsidRPr="0093777A">
              <w:rPr>
                <w:rFonts w:ascii="Calibri" w:hAnsi="Calibri"/>
                <w:noProof/>
                <w:sz w:val="20"/>
                <w:szCs w:val="20"/>
              </w:rPr>
              <w:t>This unit acts as a bridge between the students’ previous experience in mathematics and further tertiary study in mathematics. Students will engage with new mathematical concepts and will be presented both with theory and practical examples. Topics include trigonometric functions, basic vector algebra in two and three dimensions, log exponential, trigonometric and periodic functions, basic differential and integral calculus of one variable and partial derivatives. Most importantly, they will learn how to apply fundamental mathematical tools and techniques used in most fields of science, engineering and mathematics.</w:t>
            </w:r>
          </w:p>
          <w:p w14:paraId="5700C78E" w14:textId="77777777" w:rsidR="00C81A17" w:rsidRPr="007E4D66" w:rsidRDefault="00C81A17" w:rsidP="00CA2BAF">
            <w:pPr>
              <w:spacing w:before="120" w:after="120"/>
            </w:pPr>
            <w:r w:rsidRPr="0093777A">
              <w:rPr>
                <w:rFonts w:ascii="Calibri" w:hAnsi="Calibri"/>
                <w:noProof/>
                <w:sz w:val="20"/>
                <w:szCs w:val="20"/>
              </w:rPr>
              <w:t>It is these applications that are essential for secondary classroom teachers to understand. Further, for the Christian teacher, developing a broader appreciation of the logic, order and consistency of such mathematical applications and how these reflect the character of God and His creation is of great significance. By weaving the cognitive with the eternal in this regard, it is possible for secondary classroom teachers to convey the relevance of higher level mathematics to their students and inspire them to higher levels of learning.</w:t>
            </w:r>
          </w:p>
        </w:tc>
      </w:tr>
      <w:tr w:rsidR="00C81A17" w:rsidRPr="007C3638" w14:paraId="7BF2670F" w14:textId="77777777" w:rsidTr="0017242C">
        <w:tc>
          <w:tcPr>
            <w:tcW w:w="1744" w:type="dxa"/>
            <w:shd w:val="clear" w:color="auto" w:fill="auto"/>
          </w:tcPr>
          <w:p w14:paraId="61BFB0FA" w14:textId="77777777" w:rsidR="00C81A17" w:rsidRPr="007C3638" w:rsidRDefault="00C81A17" w:rsidP="005F1FBB">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lastRenderedPageBreak/>
              <w:t>Learning delivery process</w:t>
            </w:r>
          </w:p>
        </w:tc>
        <w:tc>
          <w:tcPr>
            <w:tcW w:w="7959" w:type="dxa"/>
            <w:shd w:val="clear" w:color="auto" w:fill="auto"/>
          </w:tcPr>
          <w:p w14:paraId="11F54F0C" w14:textId="77777777" w:rsidR="00C81A17" w:rsidRDefault="00C81A17" w:rsidP="005F1FBB">
            <w:pPr>
              <w:spacing w:before="120" w:after="120"/>
              <w:ind w:right="-57"/>
              <w:rPr>
                <w:rFonts w:ascii="Calibri" w:hAnsi="Calibri" w:cs="Calibri"/>
              </w:rPr>
            </w:pPr>
            <w:r>
              <w:rPr>
                <w:rFonts w:ascii="Calibri" w:hAnsi="Calibri" w:cs="Calibri"/>
                <w:sz w:val="20"/>
                <w:szCs w:val="20"/>
              </w:rPr>
              <w:t>Interactive engagement through on-campus or online learning modes with full access to CHC’s learning portal of resources:</w:t>
            </w:r>
          </w:p>
          <w:p w14:paraId="0AE64C3D" w14:textId="77777777" w:rsidR="00C81A17" w:rsidRPr="00141FC5" w:rsidRDefault="00C81A17" w:rsidP="005F1FBB">
            <w:pPr>
              <w:spacing w:before="120" w:after="120"/>
              <w:ind w:right="-57"/>
              <w:rPr>
                <w:rFonts w:ascii="Calibri" w:hAnsi="Calibri" w:cs="Calibri"/>
                <w:b/>
                <w:sz w:val="20"/>
              </w:rPr>
            </w:pPr>
            <w:r w:rsidRPr="00141FC5">
              <w:rPr>
                <w:rFonts w:ascii="Calibri" w:hAnsi="Calibri" w:cs="Calibri"/>
                <w:b/>
                <w:sz w:val="20"/>
              </w:rPr>
              <w:t>On-Campus mode</w:t>
            </w:r>
          </w:p>
          <w:p w14:paraId="40078193" w14:textId="77777777" w:rsidR="00C81A17" w:rsidRDefault="00C81A17" w:rsidP="00C81A17">
            <w:pPr>
              <w:numPr>
                <w:ilvl w:val="0"/>
                <w:numId w:val="4"/>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lecture.</w:t>
            </w:r>
          </w:p>
          <w:p w14:paraId="7B02ADD4" w14:textId="77777777" w:rsidR="00C81A17" w:rsidRDefault="00C81A17" w:rsidP="00C81A17">
            <w:pPr>
              <w:numPr>
                <w:ilvl w:val="0"/>
                <w:numId w:val="4"/>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tutorial (where applicable).</w:t>
            </w:r>
          </w:p>
          <w:p w14:paraId="30D39E85" w14:textId="77777777" w:rsidR="00C81A17" w:rsidRDefault="00C81A17" w:rsidP="005F1FBB">
            <w:pPr>
              <w:spacing w:before="120" w:after="120"/>
              <w:ind w:right="-57"/>
              <w:rPr>
                <w:rFonts w:ascii="Calibri" w:hAnsi="Calibri" w:cs="Calibri"/>
              </w:rPr>
            </w:pPr>
            <w:r>
              <w:rPr>
                <w:rFonts w:ascii="Calibri" w:hAnsi="Calibri" w:cs="Calibri"/>
                <w:sz w:val="20"/>
                <w:szCs w:val="20"/>
              </w:rPr>
              <w:t xml:space="preserve">Plus, CHC learning portal resources (see below). </w:t>
            </w:r>
          </w:p>
          <w:p w14:paraId="41751B93" w14:textId="77777777" w:rsidR="00C81A17" w:rsidRDefault="00C81A17" w:rsidP="005F1FBB">
            <w:pPr>
              <w:spacing w:before="120" w:after="120"/>
              <w:ind w:right="-57"/>
              <w:rPr>
                <w:rFonts w:ascii="Calibri" w:hAnsi="Calibri" w:cs="Calibri"/>
              </w:rPr>
            </w:pPr>
            <w:r>
              <w:rPr>
                <w:rFonts w:ascii="Calibri" w:hAnsi="Calibri" w:cs="Calibri"/>
                <w:b/>
                <w:bCs/>
                <w:sz w:val="20"/>
                <w:szCs w:val="20"/>
              </w:rPr>
              <w:t>On-line mode</w:t>
            </w:r>
          </w:p>
          <w:p w14:paraId="44AFA647" w14:textId="77777777" w:rsidR="00C81A17" w:rsidRDefault="00C81A17" w:rsidP="00C81A17">
            <w:pPr>
              <w:numPr>
                <w:ilvl w:val="0"/>
                <w:numId w:val="5"/>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CHC learning portal (Moodle™)</w:t>
            </w:r>
            <w:r w:rsidRPr="00141FC5">
              <w:rPr>
                <w:rFonts w:ascii="Calibri" w:eastAsia="Times New Roman" w:hAnsi="Calibri" w:cs="Calibri"/>
                <w:sz w:val="20"/>
              </w:rPr>
              <w:t xml:space="preserve"> including</w:t>
            </w:r>
            <w:r>
              <w:rPr>
                <w:rFonts w:ascii="Calibri" w:eastAsia="Times New Roman" w:hAnsi="Calibri" w:cs="Calibri"/>
                <w:sz w:val="20"/>
              </w:rPr>
              <w:t>:</w:t>
            </w:r>
            <w:r w:rsidRPr="00141FC5">
              <w:rPr>
                <w:rFonts w:ascii="Calibri" w:eastAsia="Times New Roman" w:hAnsi="Calibri" w:cs="Calibri"/>
                <w:sz w:val="20"/>
              </w:rPr>
              <w:t xml:space="preserve"> </w:t>
            </w:r>
          </w:p>
          <w:p w14:paraId="218ABD66" w14:textId="77777777" w:rsidR="00C81A17" w:rsidRDefault="00C81A17" w:rsidP="00C81A17">
            <w:pPr>
              <w:numPr>
                <w:ilvl w:val="1"/>
                <w:numId w:val="5"/>
              </w:numPr>
              <w:spacing w:line="252" w:lineRule="auto"/>
              <w:rPr>
                <w:rFonts w:ascii="Calibri" w:eastAsia="Times New Roman" w:hAnsi="Calibri" w:cs="Calibri"/>
              </w:rPr>
            </w:pPr>
            <w:r>
              <w:rPr>
                <w:rFonts w:ascii="Calibri" w:eastAsia="Times New Roman" w:hAnsi="Calibri" w:cs="Calibri"/>
                <w:sz w:val="20"/>
                <w:szCs w:val="20"/>
              </w:rPr>
              <w:t xml:space="preserve">Synchronous and asynchronous virtual lectures </w:t>
            </w:r>
          </w:p>
          <w:p w14:paraId="6290B018" w14:textId="77777777" w:rsidR="00C81A17" w:rsidRDefault="00C81A17" w:rsidP="005F1FBB">
            <w:pPr>
              <w:spacing w:line="252" w:lineRule="auto"/>
              <w:ind w:left="1080"/>
              <w:rPr>
                <w:rFonts w:eastAsia="Times New Roman"/>
                <w:sz w:val="20"/>
                <w:szCs w:val="20"/>
              </w:rPr>
            </w:pPr>
            <w:r w:rsidRPr="00141FC5">
              <w:rPr>
                <w:rFonts w:eastAsia="Times New Roman"/>
                <w:sz w:val="20"/>
                <w:szCs w:val="20"/>
              </w:rPr>
              <w:t>(</w:t>
            </w:r>
            <w:r>
              <w:rPr>
                <w:rFonts w:eastAsia="Times New Roman"/>
                <w:sz w:val="20"/>
                <w:szCs w:val="20"/>
              </w:rPr>
              <w:t>multi-user collaborative learning interfaces,</w:t>
            </w:r>
            <w:r w:rsidRPr="00141FC5">
              <w:rPr>
                <w:rFonts w:eastAsia="Times New Roman"/>
                <w:sz w:val="20"/>
                <w:szCs w:val="20"/>
              </w:rPr>
              <w:t xml:space="preserve"> lecture capture</w:t>
            </w:r>
            <w:r>
              <w:rPr>
                <w:rFonts w:eastAsia="Times New Roman"/>
                <w:sz w:val="20"/>
                <w:szCs w:val="20"/>
              </w:rPr>
              <w:t xml:space="preserve">, interactive </w:t>
            </w:r>
            <w:r w:rsidRPr="00141FC5">
              <w:rPr>
                <w:rFonts w:eastAsia="Times New Roman"/>
                <w:sz w:val="20"/>
                <w:szCs w:val="20"/>
              </w:rPr>
              <w:t>Power Point presentation and resources)</w:t>
            </w:r>
          </w:p>
          <w:p w14:paraId="63C071D7" w14:textId="77777777" w:rsidR="00C81A17" w:rsidRPr="004545F8" w:rsidRDefault="00C81A17" w:rsidP="00C81A17">
            <w:pPr>
              <w:pStyle w:val="ListParagraph"/>
              <w:numPr>
                <w:ilvl w:val="0"/>
                <w:numId w:val="6"/>
              </w:numPr>
              <w:spacing w:line="252" w:lineRule="auto"/>
              <w:rPr>
                <w:rFonts w:eastAsia="Times New Roman" w:cs="Calibri"/>
              </w:rPr>
            </w:pPr>
            <w:r w:rsidRPr="004545F8">
              <w:rPr>
                <w:rFonts w:eastAsia="Times New Roman" w:cs="Calibri"/>
                <w:sz w:val="20"/>
                <w:szCs w:val="20"/>
              </w:rPr>
              <w:t>lecture capture recording</w:t>
            </w:r>
            <w:r>
              <w:rPr>
                <w:rFonts w:eastAsia="Times New Roman" w:cs="Calibri"/>
                <w:sz w:val="20"/>
                <w:szCs w:val="20"/>
              </w:rPr>
              <w:t>s bank</w:t>
            </w:r>
          </w:p>
          <w:p w14:paraId="68DC3F3D" w14:textId="77777777" w:rsidR="00C81A17" w:rsidRPr="004545F8" w:rsidRDefault="00C81A17" w:rsidP="00C81A17">
            <w:pPr>
              <w:pStyle w:val="ListParagraph"/>
              <w:numPr>
                <w:ilvl w:val="0"/>
                <w:numId w:val="6"/>
              </w:numPr>
              <w:spacing w:line="252" w:lineRule="auto"/>
              <w:rPr>
                <w:rFonts w:eastAsia="Times New Roman" w:cs="Calibri"/>
              </w:rPr>
            </w:pPr>
            <w:r w:rsidRPr="004545F8">
              <w:rPr>
                <w:rFonts w:eastAsia="Times New Roman" w:cs="Calibri"/>
                <w:sz w:val="20"/>
                <w:szCs w:val="20"/>
              </w:rPr>
              <w:t xml:space="preserve">weekly </w:t>
            </w:r>
            <w:proofErr w:type="gramStart"/>
            <w:r w:rsidRPr="004545F8">
              <w:rPr>
                <w:rFonts w:eastAsia="Times New Roman" w:cs="Calibri"/>
                <w:sz w:val="20"/>
                <w:szCs w:val="20"/>
              </w:rPr>
              <w:t>readings;</w:t>
            </w:r>
            <w:proofErr w:type="gramEnd"/>
            <w:r w:rsidRPr="004545F8">
              <w:rPr>
                <w:rFonts w:eastAsia="Times New Roman" w:cs="Calibri"/>
                <w:sz w:val="20"/>
                <w:szCs w:val="20"/>
              </w:rPr>
              <w:t xml:space="preserve"> </w:t>
            </w:r>
          </w:p>
          <w:p w14:paraId="6472E3D8" w14:textId="77777777" w:rsidR="00C81A17" w:rsidRPr="004545F8" w:rsidRDefault="00C81A17" w:rsidP="00C81A17">
            <w:pPr>
              <w:pStyle w:val="ListParagraph"/>
              <w:numPr>
                <w:ilvl w:val="0"/>
                <w:numId w:val="6"/>
              </w:numPr>
              <w:spacing w:line="252" w:lineRule="auto"/>
              <w:rPr>
                <w:rFonts w:eastAsia="Times New Roman" w:cs="Calibri"/>
              </w:rPr>
            </w:pPr>
            <w:r w:rsidRPr="004545F8">
              <w:rPr>
                <w:rFonts w:eastAsia="Times New Roman" w:cs="Calibri"/>
                <w:sz w:val="20"/>
                <w:szCs w:val="20"/>
              </w:rPr>
              <w:t xml:space="preserve">learning </w:t>
            </w:r>
            <w:proofErr w:type="gramStart"/>
            <w:r w:rsidRPr="004545F8">
              <w:rPr>
                <w:rFonts w:eastAsia="Times New Roman" w:cs="Calibri"/>
                <w:sz w:val="20"/>
                <w:szCs w:val="20"/>
              </w:rPr>
              <w:t>guides;</w:t>
            </w:r>
            <w:proofErr w:type="gramEnd"/>
            <w:r w:rsidRPr="004545F8">
              <w:rPr>
                <w:rFonts w:eastAsia="Times New Roman" w:cs="Calibri"/>
                <w:sz w:val="20"/>
                <w:szCs w:val="20"/>
              </w:rPr>
              <w:t xml:space="preserve"> </w:t>
            </w:r>
          </w:p>
          <w:p w14:paraId="269BC9C2" w14:textId="77777777" w:rsidR="00C81A17" w:rsidRPr="004545F8" w:rsidRDefault="00C81A17" w:rsidP="00C81A17">
            <w:pPr>
              <w:pStyle w:val="ListParagraph"/>
              <w:numPr>
                <w:ilvl w:val="0"/>
                <w:numId w:val="6"/>
              </w:numPr>
              <w:spacing w:line="252" w:lineRule="auto"/>
              <w:rPr>
                <w:rFonts w:eastAsia="Times New Roman" w:cs="Calibri"/>
              </w:rPr>
            </w:pPr>
            <w:r w:rsidRPr="004545F8">
              <w:rPr>
                <w:rFonts w:eastAsia="Times New Roman" w:cs="Calibri"/>
                <w:sz w:val="20"/>
                <w:szCs w:val="20"/>
              </w:rPr>
              <w:t>assessment guides</w:t>
            </w:r>
          </w:p>
          <w:p w14:paraId="4197EDB8" w14:textId="77777777" w:rsidR="00C81A17" w:rsidRPr="004545F8" w:rsidRDefault="00C81A17" w:rsidP="00C81A17">
            <w:pPr>
              <w:pStyle w:val="ListParagraph"/>
              <w:numPr>
                <w:ilvl w:val="0"/>
                <w:numId w:val="6"/>
              </w:numPr>
              <w:spacing w:line="252" w:lineRule="auto"/>
              <w:rPr>
                <w:rFonts w:eastAsia="Times New Roman" w:cs="Calibri"/>
              </w:rPr>
            </w:pPr>
            <w:r w:rsidRPr="004545F8">
              <w:rPr>
                <w:rFonts w:eastAsia="Times New Roman" w:cs="Calibri"/>
                <w:sz w:val="20"/>
                <w:szCs w:val="20"/>
              </w:rPr>
              <w:t>Collaborative forums: Student forums and News forum.</w:t>
            </w:r>
          </w:p>
          <w:p w14:paraId="7C87884D" w14:textId="77777777" w:rsidR="00C81A17" w:rsidRPr="004545F8" w:rsidRDefault="00C81A17" w:rsidP="00C81A17">
            <w:pPr>
              <w:pStyle w:val="ListParagraph"/>
              <w:numPr>
                <w:ilvl w:val="0"/>
                <w:numId w:val="6"/>
              </w:numPr>
              <w:spacing w:line="252" w:lineRule="auto"/>
              <w:rPr>
                <w:rFonts w:eastAsia="Times New Roman" w:cs="Calibri"/>
              </w:rPr>
            </w:pPr>
            <w:r w:rsidRPr="004545F8">
              <w:rPr>
                <w:rFonts w:eastAsia="Times New Roman" w:cs="Calibri"/>
                <w:sz w:val="20"/>
                <w:szCs w:val="20"/>
              </w:rPr>
              <w:t>Turnitin assessment and feedback tool.</w:t>
            </w:r>
          </w:p>
          <w:p w14:paraId="7684F7B7" w14:textId="77777777" w:rsidR="00C81A17" w:rsidRPr="004545F8" w:rsidRDefault="00C81A17" w:rsidP="005F1FBB">
            <w:pPr>
              <w:spacing w:line="252" w:lineRule="auto"/>
              <w:ind w:left="720"/>
              <w:rPr>
                <w:rFonts w:eastAsia="Times New Roman" w:cs="Calibri"/>
              </w:rPr>
            </w:pPr>
          </w:p>
          <w:p w14:paraId="66203086" w14:textId="77777777" w:rsidR="00C81A17" w:rsidRPr="005B1564" w:rsidRDefault="00C81A17" w:rsidP="005F1FBB">
            <w:pPr>
              <w:spacing w:after="120"/>
              <w:rPr>
                <w:rFonts w:eastAsia="Times New Roman"/>
              </w:rPr>
            </w:pPr>
            <w:r w:rsidRPr="008E6725">
              <w:rPr>
                <w:sz w:val="20"/>
              </w:rPr>
              <w:t>All unit outlines are reviewed prior to the offering of the unit to take account of student and lecturer feedback.</w:t>
            </w:r>
          </w:p>
        </w:tc>
      </w:tr>
      <w:tr w:rsidR="00C81A17" w:rsidRPr="007C3638" w14:paraId="39EF93CE" w14:textId="77777777" w:rsidTr="0017242C">
        <w:tc>
          <w:tcPr>
            <w:tcW w:w="1744" w:type="dxa"/>
            <w:shd w:val="clear" w:color="auto" w:fill="auto"/>
          </w:tcPr>
          <w:p w14:paraId="1D68973F" w14:textId="77777777" w:rsidR="00C81A17" w:rsidRPr="007C3638" w:rsidRDefault="00C81A17" w:rsidP="005F1FBB">
            <w:pPr>
              <w:spacing w:before="120" w:after="120"/>
              <w:ind w:right="-57"/>
              <w:rPr>
                <w:rFonts w:ascii="Calibri" w:eastAsia="Calibri" w:hAnsi="Calibri" w:cs="Times New Roman"/>
                <w:b/>
                <w:sz w:val="20"/>
                <w:szCs w:val="20"/>
              </w:rPr>
            </w:pPr>
            <w:r w:rsidRPr="007C3638">
              <w:rPr>
                <w:rFonts w:ascii="Calibri" w:eastAsia="Calibri" w:hAnsi="Calibri" w:cs="Times New Roman"/>
                <w:b/>
                <w:sz w:val="20"/>
                <w:szCs w:val="20"/>
              </w:rPr>
              <w:t>Content</w:t>
            </w:r>
          </w:p>
        </w:tc>
        <w:tc>
          <w:tcPr>
            <w:tcW w:w="7959" w:type="dxa"/>
            <w:shd w:val="clear" w:color="auto" w:fill="auto"/>
          </w:tcPr>
          <w:p w14:paraId="507F1BD6" w14:textId="77777777" w:rsidR="00C81A17" w:rsidRDefault="00C81A17" w:rsidP="00144A47">
            <w:pPr>
              <w:spacing w:before="120"/>
              <w:ind w:left="445" w:right="-57" w:hanging="425"/>
              <w:rPr>
                <w:sz w:val="20"/>
                <w:szCs w:val="20"/>
              </w:rPr>
            </w:pPr>
            <w:r w:rsidRPr="0093777A">
              <w:rPr>
                <w:rFonts w:ascii="Calibri" w:hAnsi="Calibri" w:cs="Calibri"/>
                <w:b/>
                <w:bCs/>
                <w:noProof/>
                <w:sz w:val="20"/>
                <w:szCs w:val="20"/>
              </w:rPr>
              <w:t>1.</w:t>
            </w:r>
            <w:r>
              <w:rPr>
                <w:rFonts w:ascii="Calibri" w:hAnsi="Calibri" w:cs="Calibri"/>
                <w:b/>
                <w:bCs/>
                <w:sz w:val="20"/>
                <w:szCs w:val="20"/>
              </w:rPr>
              <w:t xml:space="preserve">      </w:t>
            </w:r>
            <w:r w:rsidRPr="0093777A">
              <w:rPr>
                <w:noProof/>
                <w:sz w:val="20"/>
                <w:szCs w:val="20"/>
              </w:rPr>
              <w:t>Vectors</w:t>
            </w:r>
          </w:p>
          <w:p w14:paraId="375BB350" w14:textId="77777777" w:rsidR="00C81A17" w:rsidRDefault="00C81A17" w:rsidP="00144A47">
            <w:pPr>
              <w:spacing w:before="120"/>
              <w:ind w:left="445" w:right="-57" w:hanging="425"/>
              <w:rPr>
                <w:sz w:val="20"/>
                <w:szCs w:val="20"/>
              </w:rPr>
            </w:pPr>
          </w:p>
          <w:p w14:paraId="53FAE458" w14:textId="77777777" w:rsidR="00C81A17" w:rsidRDefault="00C81A17" w:rsidP="00144A47">
            <w:pPr>
              <w:tabs>
                <w:tab w:val="left" w:pos="2268"/>
              </w:tabs>
              <w:ind w:left="423" w:right="-57" w:hanging="423"/>
              <w:rPr>
                <w:sz w:val="20"/>
                <w:szCs w:val="20"/>
              </w:rPr>
            </w:pPr>
            <w:r w:rsidRPr="0093777A">
              <w:rPr>
                <w:b/>
                <w:noProof/>
                <w:sz w:val="20"/>
                <w:szCs w:val="20"/>
              </w:rPr>
              <w:t>2.</w:t>
            </w:r>
            <w:r>
              <w:rPr>
                <w:b/>
                <w:sz w:val="20"/>
                <w:szCs w:val="20"/>
              </w:rPr>
              <w:t xml:space="preserve">      </w:t>
            </w:r>
            <w:r w:rsidRPr="0093777A">
              <w:rPr>
                <w:noProof/>
                <w:sz w:val="20"/>
                <w:szCs w:val="20"/>
              </w:rPr>
              <w:t>Functions and limits</w:t>
            </w:r>
          </w:p>
          <w:p w14:paraId="5B16ED77" w14:textId="77777777" w:rsidR="00C81A17" w:rsidRDefault="00C81A17" w:rsidP="005F1FBB">
            <w:pPr>
              <w:tabs>
                <w:tab w:val="left" w:pos="2268"/>
              </w:tabs>
              <w:ind w:left="423" w:right="-57" w:hanging="423"/>
              <w:rPr>
                <w:b/>
                <w:sz w:val="20"/>
                <w:szCs w:val="20"/>
              </w:rPr>
            </w:pPr>
          </w:p>
          <w:p w14:paraId="19A0E4D8" w14:textId="77777777" w:rsidR="00C81A17" w:rsidRDefault="00C81A17" w:rsidP="00144A47">
            <w:pPr>
              <w:tabs>
                <w:tab w:val="left" w:pos="2268"/>
              </w:tabs>
              <w:ind w:left="423" w:right="-57" w:hanging="423"/>
              <w:rPr>
                <w:sz w:val="20"/>
                <w:szCs w:val="20"/>
              </w:rPr>
            </w:pPr>
            <w:r w:rsidRPr="0093777A">
              <w:rPr>
                <w:b/>
                <w:noProof/>
                <w:sz w:val="20"/>
                <w:szCs w:val="20"/>
              </w:rPr>
              <w:t>3.</w:t>
            </w:r>
            <w:r>
              <w:rPr>
                <w:b/>
                <w:sz w:val="20"/>
                <w:szCs w:val="20"/>
              </w:rPr>
              <w:t xml:space="preserve">      </w:t>
            </w:r>
            <w:r w:rsidRPr="0093777A">
              <w:rPr>
                <w:noProof/>
                <w:sz w:val="20"/>
                <w:szCs w:val="20"/>
              </w:rPr>
              <w:t>Differentiation</w:t>
            </w:r>
          </w:p>
          <w:p w14:paraId="4C77FA8D" w14:textId="77777777" w:rsidR="00C81A17" w:rsidRDefault="00C81A17" w:rsidP="005F1FBB">
            <w:pPr>
              <w:tabs>
                <w:tab w:val="left" w:pos="2268"/>
              </w:tabs>
              <w:ind w:left="423" w:right="-57" w:hanging="423"/>
              <w:rPr>
                <w:b/>
                <w:sz w:val="20"/>
                <w:szCs w:val="20"/>
              </w:rPr>
            </w:pPr>
          </w:p>
          <w:p w14:paraId="31D3C306" w14:textId="77777777" w:rsidR="00C81A17" w:rsidRDefault="00C81A17" w:rsidP="00144A47">
            <w:pPr>
              <w:tabs>
                <w:tab w:val="left" w:pos="2268"/>
              </w:tabs>
              <w:ind w:left="423" w:right="-57" w:hanging="423"/>
              <w:rPr>
                <w:sz w:val="20"/>
                <w:szCs w:val="20"/>
              </w:rPr>
            </w:pPr>
            <w:r w:rsidRPr="0093777A">
              <w:rPr>
                <w:b/>
                <w:noProof/>
                <w:sz w:val="20"/>
                <w:szCs w:val="20"/>
              </w:rPr>
              <w:t>4.</w:t>
            </w:r>
            <w:r>
              <w:rPr>
                <w:b/>
                <w:sz w:val="20"/>
                <w:szCs w:val="20"/>
              </w:rPr>
              <w:t xml:space="preserve">      </w:t>
            </w:r>
            <w:r w:rsidRPr="0093777A">
              <w:rPr>
                <w:noProof/>
                <w:sz w:val="20"/>
                <w:szCs w:val="20"/>
              </w:rPr>
              <w:t>Integration</w:t>
            </w:r>
          </w:p>
          <w:p w14:paraId="23ED81D1" w14:textId="77777777" w:rsidR="00C81A17" w:rsidRDefault="00C81A17" w:rsidP="005F1FBB">
            <w:pPr>
              <w:tabs>
                <w:tab w:val="left" w:pos="2268"/>
              </w:tabs>
              <w:ind w:left="423" w:right="-57" w:hanging="423"/>
              <w:rPr>
                <w:b/>
                <w:sz w:val="20"/>
                <w:szCs w:val="20"/>
              </w:rPr>
            </w:pPr>
          </w:p>
          <w:p w14:paraId="6999F116" w14:textId="77777777" w:rsidR="00C81A17" w:rsidRDefault="00C81A17" w:rsidP="00144A47">
            <w:pPr>
              <w:tabs>
                <w:tab w:val="left" w:pos="2268"/>
              </w:tabs>
              <w:ind w:left="423" w:right="-57" w:hanging="423"/>
              <w:rPr>
                <w:sz w:val="20"/>
                <w:szCs w:val="20"/>
              </w:rPr>
            </w:pPr>
            <w:r w:rsidRPr="0093777A">
              <w:rPr>
                <w:b/>
                <w:noProof/>
                <w:sz w:val="20"/>
                <w:szCs w:val="20"/>
              </w:rPr>
              <w:t>5.</w:t>
            </w:r>
            <w:r>
              <w:rPr>
                <w:b/>
                <w:sz w:val="20"/>
                <w:szCs w:val="20"/>
              </w:rPr>
              <w:t xml:space="preserve">      </w:t>
            </w:r>
            <w:r w:rsidRPr="0093777A">
              <w:rPr>
                <w:noProof/>
                <w:sz w:val="20"/>
                <w:szCs w:val="20"/>
              </w:rPr>
              <w:t>Sequences and series</w:t>
            </w:r>
          </w:p>
          <w:p w14:paraId="51C2C1BE" w14:textId="77777777" w:rsidR="00C81A17" w:rsidRDefault="00C81A17" w:rsidP="005F1FBB">
            <w:pPr>
              <w:tabs>
                <w:tab w:val="left" w:pos="2268"/>
              </w:tabs>
              <w:ind w:left="423" w:right="-57" w:hanging="423"/>
              <w:rPr>
                <w:b/>
                <w:sz w:val="20"/>
                <w:szCs w:val="20"/>
              </w:rPr>
            </w:pPr>
          </w:p>
          <w:p w14:paraId="0E42F64D" w14:textId="77777777" w:rsidR="00C81A17" w:rsidRPr="00D95EAF" w:rsidRDefault="00C81A17" w:rsidP="00144A47">
            <w:pPr>
              <w:tabs>
                <w:tab w:val="left" w:pos="2268"/>
              </w:tabs>
              <w:ind w:left="423" w:right="-57" w:hanging="423"/>
              <w:rPr>
                <w:sz w:val="20"/>
                <w:szCs w:val="20"/>
              </w:rPr>
            </w:pPr>
          </w:p>
        </w:tc>
      </w:tr>
      <w:tr w:rsidR="00C81A17" w:rsidRPr="007C3638" w14:paraId="4800D768" w14:textId="77777777" w:rsidTr="0017242C">
        <w:tc>
          <w:tcPr>
            <w:tcW w:w="1744" w:type="dxa"/>
            <w:shd w:val="clear" w:color="auto" w:fill="auto"/>
          </w:tcPr>
          <w:p w14:paraId="370629A4" w14:textId="77777777" w:rsidR="00C81A17" w:rsidRPr="008E6725" w:rsidRDefault="00C81A17" w:rsidP="005F1FBB">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Outcomes</w:t>
            </w:r>
          </w:p>
        </w:tc>
        <w:tc>
          <w:tcPr>
            <w:tcW w:w="7959" w:type="dxa"/>
            <w:shd w:val="clear" w:color="auto" w:fill="auto"/>
          </w:tcPr>
          <w:p w14:paraId="02785053" w14:textId="77777777" w:rsidR="00C81A17" w:rsidRDefault="00C81A17" w:rsidP="005F1FBB">
            <w:pPr>
              <w:spacing w:before="120"/>
            </w:pPr>
            <w:r w:rsidRPr="007C3638">
              <w:rPr>
                <w:rFonts w:ascii="Calibri" w:eastAsia="Calibri" w:hAnsi="Calibri" w:cs="Times New Roman"/>
                <w:sz w:val="20"/>
                <w:szCs w:val="20"/>
              </w:rPr>
              <w:t xml:space="preserve">On completion of this unit, </w:t>
            </w:r>
            <w:r>
              <w:rPr>
                <w:rFonts w:ascii="Calibri" w:eastAsia="Calibri" w:hAnsi="Calibri" w:cs="Times New Roman"/>
                <w:sz w:val="20"/>
                <w:szCs w:val="20"/>
              </w:rPr>
              <w:t>pre-service</w:t>
            </w:r>
            <w:r w:rsidRPr="007C3638">
              <w:rPr>
                <w:rFonts w:ascii="Calibri" w:eastAsia="Calibri" w:hAnsi="Calibri" w:cs="Times New Roman"/>
                <w:sz w:val="20"/>
                <w:szCs w:val="20"/>
              </w:rPr>
              <w:t xml:space="preserve"> teachers will have provided evidence that they have:</w:t>
            </w:r>
            <w:r>
              <w:t xml:space="preserve"> </w:t>
            </w:r>
          </w:p>
          <w:p w14:paraId="5CAE282A" w14:textId="77777777" w:rsidR="00C81A17" w:rsidRDefault="00C81A17" w:rsidP="005F1FBB">
            <w:pPr>
              <w:rPr>
                <w:b/>
                <w:noProof/>
                <w:sz w:val="20"/>
                <w:szCs w:val="20"/>
              </w:rPr>
            </w:pPr>
          </w:p>
          <w:p w14:paraId="2047ACF4" w14:textId="77777777" w:rsidR="00C81A17" w:rsidRDefault="00C81A17" w:rsidP="00144A47">
            <w:pPr>
              <w:rPr>
                <w:noProof/>
                <w:sz w:val="20"/>
                <w:szCs w:val="20"/>
              </w:rPr>
            </w:pPr>
            <w:r w:rsidRPr="0093777A">
              <w:rPr>
                <w:b/>
                <w:noProof/>
                <w:sz w:val="20"/>
                <w:szCs w:val="20"/>
              </w:rPr>
              <w:t>1.</w:t>
            </w:r>
            <w:r>
              <w:rPr>
                <w:b/>
                <w:noProof/>
                <w:sz w:val="20"/>
                <w:szCs w:val="20"/>
              </w:rPr>
              <w:t xml:space="preserve">      </w:t>
            </w:r>
            <w:r w:rsidRPr="0093777A">
              <w:rPr>
                <w:noProof/>
                <w:sz w:val="20"/>
                <w:szCs w:val="20"/>
              </w:rPr>
              <w:t>developed fluency in using differential and integral calculus, vectors, functions, and sequences and series;</w:t>
            </w:r>
            <w:r w:rsidRPr="005E441A">
              <w:rPr>
                <w:noProof/>
                <w:sz w:val="20"/>
                <w:szCs w:val="20"/>
              </w:rPr>
              <w:t xml:space="preserve"> </w:t>
            </w:r>
          </w:p>
          <w:p w14:paraId="78C2C103" w14:textId="77777777" w:rsidR="00C81A17" w:rsidRDefault="00C81A17" w:rsidP="005F1FBB">
            <w:pPr>
              <w:rPr>
                <w:b/>
                <w:noProof/>
                <w:sz w:val="20"/>
                <w:szCs w:val="20"/>
              </w:rPr>
            </w:pPr>
          </w:p>
          <w:p w14:paraId="62738F04" w14:textId="77777777" w:rsidR="00C81A17" w:rsidRDefault="00C81A17" w:rsidP="00144A47">
            <w:pPr>
              <w:rPr>
                <w:noProof/>
                <w:sz w:val="20"/>
                <w:szCs w:val="20"/>
              </w:rPr>
            </w:pPr>
            <w:r w:rsidRPr="0093777A">
              <w:rPr>
                <w:b/>
                <w:noProof/>
                <w:sz w:val="20"/>
                <w:szCs w:val="20"/>
              </w:rPr>
              <w:t>2.</w:t>
            </w:r>
            <w:r>
              <w:rPr>
                <w:b/>
                <w:noProof/>
                <w:sz w:val="20"/>
                <w:szCs w:val="20"/>
              </w:rPr>
              <w:t xml:space="preserve">      </w:t>
            </w:r>
            <w:r w:rsidRPr="0093777A">
              <w:rPr>
                <w:noProof/>
                <w:sz w:val="20"/>
                <w:szCs w:val="20"/>
              </w:rPr>
              <w:t>analysed mathematical problems to identify and apply relevant processes to solve such problems;</w:t>
            </w:r>
            <w:r w:rsidRPr="005E441A">
              <w:rPr>
                <w:noProof/>
                <w:sz w:val="20"/>
                <w:szCs w:val="20"/>
              </w:rPr>
              <w:t xml:space="preserve"> </w:t>
            </w:r>
          </w:p>
          <w:p w14:paraId="06428145" w14:textId="77777777" w:rsidR="00C81A17" w:rsidRDefault="00C81A17" w:rsidP="005F1FBB">
            <w:pPr>
              <w:rPr>
                <w:b/>
                <w:noProof/>
                <w:sz w:val="20"/>
                <w:szCs w:val="20"/>
              </w:rPr>
            </w:pPr>
          </w:p>
          <w:p w14:paraId="4065EE5C" w14:textId="77777777" w:rsidR="00C81A17" w:rsidRDefault="00C81A17" w:rsidP="00144A47">
            <w:pPr>
              <w:ind w:left="445" w:hanging="425"/>
              <w:rPr>
                <w:noProof/>
                <w:sz w:val="20"/>
                <w:szCs w:val="20"/>
              </w:rPr>
            </w:pPr>
            <w:r w:rsidRPr="0093777A">
              <w:rPr>
                <w:b/>
                <w:noProof/>
                <w:sz w:val="20"/>
                <w:szCs w:val="20"/>
              </w:rPr>
              <w:t>3.</w:t>
            </w:r>
            <w:r>
              <w:rPr>
                <w:b/>
                <w:noProof/>
                <w:sz w:val="20"/>
                <w:szCs w:val="20"/>
              </w:rPr>
              <w:t xml:space="preserve">      </w:t>
            </w:r>
            <w:r w:rsidRPr="0093777A">
              <w:rPr>
                <w:noProof/>
                <w:sz w:val="20"/>
                <w:szCs w:val="20"/>
              </w:rPr>
              <w:t>appreciated the logic, order and consistency of mathematics in relation to its reflection of both the character of God and His creation;</w:t>
            </w:r>
            <w:r w:rsidRPr="005E441A">
              <w:rPr>
                <w:noProof/>
                <w:sz w:val="20"/>
                <w:szCs w:val="20"/>
              </w:rPr>
              <w:t xml:space="preserve"> </w:t>
            </w:r>
          </w:p>
          <w:p w14:paraId="21762567" w14:textId="77777777" w:rsidR="00C81A17" w:rsidRPr="005E441A" w:rsidRDefault="00C81A17" w:rsidP="005F1FBB">
            <w:pPr>
              <w:ind w:left="417"/>
              <w:rPr>
                <w:noProof/>
                <w:sz w:val="20"/>
                <w:szCs w:val="20"/>
              </w:rPr>
            </w:pPr>
          </w:p>
          <w:p w14:paraId="4C859C0F" w14:textId="77777777" w:rsidR="00C81A17" w:rsidRDefault="00C81A17" w:rsidP="00144A47">
            <w:pPr>
              <w:ind w:left="445" w:hanging="445"/>
              <w:rPr>
                <w:noProof/>
                <w:sz w:val="20"/>
                <w:szCs w:val="20"/>
              </w:rPr>
            </w:pPr>
            <w:r w:rsidRPr="0093777A">
              <w:rPr>
                <w:b/>
                <w:noProof/>
                <w:sz w:val="20"/>
                <w:szCs w:val="20"/>
              </w:rPr>
              <w:t>4.</w:t>
            </w:r>
            <w:r>
              <w:rPr>
                <w:b/>
                <w:noProof/>
                <w:sz w:val="20"/>
                <w:szCs w:val="20"/>
              </w:rPr>
              <w:t xml:space="preserve">      </w:t>
            </w:r>
            <w:r w:rsidRPr="0093777A">
              <w:rPr>
                <w:noProof/>
                <w:sz w:val="20"/>
                <w:szCs w:val="20"/>
              </w:rPr>
              <w:t>applied appropriate strategies to effectively communicate relevant mathematical concepts and arguments using either written English or mathematical notations, as appropriate; and</w:t>
            </w:r>
            <w:r w:rsidRPr="005E441A">
              <w:rPr>
                <w:noProof/>
                <w:sz w:val="20"/>
                <w:szCs w:val="20"/>
              </w:rPr>
              <w:t xml:space="preserve"> </w:t>
            </w:r>
          </w:p>
          <w:p w14:paraId="3CC0DBC4" w14:textId="77777777" w:rsidR="00C81A17" w:rsidRDefault="00C81A17" w:rsidP="005F1FBB">
            <w:pPr>
              <w:rPr>
                <w:b/>
                <w:noProof/>
                <w:sz w:val="20"/>
                <w:szCs w:val="20"/>
              </w:rPr>
            </w:pPr>
          </w:p>
          <w:p w14:paraId="4DBBD2C2" w14:textId="77777777" w:rsidR="00C81A17" w:rsidRDefault="00C81A17" w:rsidP="00144A47">
            <w:pPr>
              <w:ind w:left="445" w:hanging="425"/>
              <w:rPr>
                <w:noProof/>
                <w:sz w:val="20"/>
                <w:szCs w:val="20"/>
              </w:rPr>
            </w:pPr>
            <w:r w:rsidRPr="0093777A">
              <w:rPr>
                <w:b/>
                <w:noProof/>
                <w:sz w:val="20"/>
                <w:szCs w:val="20"/>
              </w:rPr>
              <w:t>5.</w:t>
            </w:r>
            <w:r>
              <w:rPr>
                <w:b/>
                <w:noProof/>
                <w:sz w:val="20"/>
                <w:szCs w:val="20"/>
              </w:rPr>
              <w:t xml:space="preserve">      </w:t>
            </w:r>
            <w:r w:rsidRPr="0093777A">
              <w:rPr>
                <w:noProof/>
                <w:sz w:val="20"/>
                <w:szCs w:val="20"/>
              </w:rPr>
              <w:t>communicated at an appropriate tertiary standard: with special attention to design elements, grammars, usage, logical relations, style, referencing and presentation.</w:t>
            </w:r>
            <w:r w:rsidRPr="005E441A">
              <w:rPr>
                <w:noProof/>
                <w:sz w:val="20"/>
                <w:szCs w:val="20"/>
              </w:rPr>
              <w:t xml:space="preserve"> </w:t>
            </w:r>
          </w:p>
          <w:p w14:paraId="66D75A71" w14:textId="77777777" w:rsidR="00C81A17" w:rsidRDefault="00C81A17" w:rsidP="005F1FBB">
            <w:pPr>
              <w:rPr>
                <w:b/>
                <w:noProof/>
                <w:sz w:val="20"/>
                <w:szCs w:val="20"/>
              </w:rPr>
            </w:pPr>
          </w:p>
          <w:p w14:paraId="6EB59ACF" w14:textId="77777777" w:rsidR="00C81A17" w:rsidRPr="00FD54C0" w:rsidRDefault="00C81A17" w:rsidP="00A02648">
            <w:pPr>
              <w:rPr>
                <w:sz w:val="20"/>
                <w:szCs w:val="20"/>
              </w:rPr>
            </w:pPr>
          </w:p>
        </w:tc>
      </w:tr>
      <w:tr w:rsidR="00C81A17" w:rsidRPr="007C3638" w14:paraId="1363EA73" w14:textId="77777777" w:rsidTr="0017242C">
        <w:tc>
          <w:tcPr>
            <w:tcW w:w="1744" w:type="dxa"/>
            <w:shd w:val="clear" w:color="auto" w:fill="auto"/>
          </w:tcPr>
          <w:p w14:paraId="6354934F" w14:textId="77777777" w:rsidR="00C81A17" w:rsidRPr="007C3638" w:rsidRDefault="00C81A17" w:rsidP="005F1FBB">
            <w:pPr>
              <w:spacing w:before="240" w:after="120"/>
              <w:ind w:right="-57"/>
              <w:rPr>
                <w:rFonts w:ascii="Calibri" w:eastAsia="Calibri" w:hAnsi="Calibri" w:cs="Times New Roman"/>
                <w:b/>
                <w:sz w:val="20"/>
                <w:szCs w:val="20"/>
              </w:rPr>
            </w:pPr>
            <w:r w:rsidRPr="008E6725">
              <w:rPr>
                <w:rFonts w:ascii="Calibri" w:eastAsia="Calibri" w:hAnsi="Calibri" w:cs="Times New Roman"/>
                <w:b/>
                <w:sz w:val="20"/>
                <w:szCs w:val="20"/>
              </w:rPr>
              <w:lastRenderedPageBreak/>
              <w:t>Assessment tasks</w:t>
            </w:r>
          </w:p>
        </w:tc>
        <w:tc>
          <w:tcPr>
            <w:tcW w:w="7959" w:type="dxa"/>
            <w:shd w:val="clear" w:color="auto" w:fill="auto"/>
          </w:tcPr>
          <w:p w14:paraId="3EA4386F" w14:textId="77777777" w:rsidR="00C81A17" w:rsidRPr="00741670" w:rsidRDefault="00C81A17" w:rsidP="005F1FBB">
            <w:pPr>
              <w:spacing w:before="240" w:after="120"/>
              <w:ind w:right="-57"/>
              <w:rPr>
                <w:rFonts w:ascii="Calibri" w:hAnsi="Calibri"/>
                <w:b/>
                <w:sz w:val="20"/>
                <w:szCs w:val="20"/>
              </w:rPr>
            </w:pPr>
            <w:r w:rsidRPr="0093777A">
              <w:rPr>
                <w:rFonts w:ascii="Calibri" w:hAnsi="Calibri"/>
                <w:b/>
                <w:noProof/>
                <w:sz w:val="20"/>
                <w:szCs w:val="20"/>
              </w:rPr>
              <w:t>Task 1</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Folio (Demonstration)</w:t>
            </w:r>
          </w:p>
          <w:p w14:paraId="3D15C208" w14:textId="77777777" w:rsidR="00C81A17" w:rsidRPr="009D43E7" w:rsidRDefault="00C81A17" w:rsidP="005F1FBB">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noProof/>
                <w:sz w:val="20"/>
                <w:szCs w:val="20"/>
              </w:rPr>
              <w:t>1 week</w:t>
            </w:r>
          </w:p>
          <w:p w14:paraId="06C1803B" w14:textId="77777777" w:rsidR="00C81A17" w:rsidRPr="009D43E7" w:rsidRDefault="00C81A17" w:rsidP="005F1FBB">
            <w:pPr>
              <w:tabs>
                <w:tab w:val="left" w:pos="2268"/>
              </w:tabs>
              <w:spacing w:before="120" w:after="120"/>
              <w:ind w:right="-57"/>
              <w:rPr>
                <w:rFonts w:eastAsia="Calibri"/>
                <w:noProof/>
                <w:sz w:val="20"/>
                <w:szCs w:val="20"/>
              </w:rPr>
            </w:pPr>
            <w:r w:rsidRPr="009D43E7">
              <w:rPr>
                <w:rFonts w:eastAsia="Calibri"/>
                <w:noProof/>
                <w:sz w:val="20"/>
                <w:szCs w:val="20"/>
              </w:rPr>
              <w:t>Weighting:</w:t>
            </w:r>
            <w:r w:rsidRPr="009D43E7">
              <w:rPr>
                <w:rFonts w:eastAsia="Calibri"/>
                <w:noProof/>
                <w:sz w:val="20"/>
                <w:szCs w:val="20"/>
              </w:rPr>
              <w:tab/>
            </w:r>
            <w:r w:rsidRPr="0093777A">
              <w:rPr>
                <w:rFonts w:eastAsia="Calibri"/>
                <w:noProof/>
                <w:sz w:val="20"/>
                <w:szCs w:val="20"/>
              </w:rPr>
              <w:t>20%</w:t>
            </w:r>
          </w:p>
          <w:p w14:paraId="48610A4F" w14:textId="77777777" w:rsidR="00C81A17" w:rsidRDefault="00C81A17" w:rsidP="005F1FBB">
            <w:pPr>
              <w:tabs>
                <w:tab w:val="left" w:pos="2268"/>
              </w:tabs>
              <w:spacing w:before="120" w:after="120"/>
              <w:ind w:right="-57"/>
              <w:rPr>
                <w:rFonts w:ascii="Calibri" w:eastAsia="Calibri" w:hAnsi="Calibri"/>
                <w:noProof/>
                <w:sz w:val="20"/>
                <w:szCs w:val="20"/>
              </w:rPr>
            </w:pPr>
            <w:r w:rsidRPr="009D43E7">
              <w:rPr>
                <w:rFonts w:eastAsia="Calibri"/>
                <w:noProof/>
                <w:sz w:val="20"/>
                <w:szCs w:val="20"/>
              </w:rPr>
              <w:t>Assessed:</w:t>
            </w:r>
            <w:r w:rsidRPr="009D43E7">
              <w:rPr>
                <w:rFonts w:eastAsia="Calibri"/>
                <w:noProof/>
                <w:sz w:val="20"/>
                <w:szCs w:val="20"/>
              </w:rPr>
              <w:tab/>
            </w:r>
            <w:r w:rsidRPr="0093777A">
              <w:rPr>
                <w:rFonts w:ascii="Calibri" w:eastAsia="Calibri" w:hAnsi="Calibri"/>
                <w:noProof/>
                <w:sz w:val="20"/>
                <w:szCs w:val="20"/>
              </w:rPr>
              <w:t>Weekly</w:t>
            </w:r>
          </w:p>
          <w:p w14:paraId="4DD55F5A" w14:textId="77777777" w:rsidR="00C81A17" w:rsidRPr="00741670" w:rsidRDefault="00C81A17" w:rsidP="005F1FBB">
            <w:pPr>
              <w:spacing w:before="120" w:after="120"/>
              <w:ind w:right="-57"/>
              <w:rPr>
                <w:rFonts w:ascii="Calibri" w:eastAsia="Calibri" w:hAnsi="Calibri" w:cs="Times New Roman"/>
                <w:b/>
                <w:noProof/>
                <w:sz w:val="20"/>
                <w:szCs w:val="20"/>
                <w:highlight w:val="yellow"/>
              </w:rPr>
            </w:pPr>
            <w:r w:rsidRPr="0093777A">
              <w:rPr>
                <w:rFonts w:ascii="Calibri" w:hAnsi="Calibri"/>
                <w:b/>
                <w:noProof/>
                <w:sz w:val="20"/>
                <w:szCs w:val="20"/>
              </w:rPr>
              <w:t>Task 2</w:t>
            </w:r>
            <w:r w:rsidRPr="00745DC7">
              <w:rPr>
                <w:rFonts w:ascii="Calibri" w:eastAsia="Calibri" w:hAnsi="Calibri" w:cs="Times New Roman"/>
                <w:b/>
                <w:noProof/>
                <w:sz w:val="20"/>
                <w:szCs w:val="20"/>
              </w:rPr>
              <w:t>:</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Investigation and Application (Investigation)</w:t>
            </w:r>
          </w:p>
          <w:p w14:paraId="0DB7D3B1" w14:textId="77777777" w:rsidR="00C81A17" w:rsidRPr="00745DC7" w:rsidRDefault="00C81A17" w:rsidP="005F1FBB">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cs="Times New Roman"/>
                <w:noProof/>
                <w:sz w:val="20"/>
                <w:szCs w:val="20"/>
              </w:rPr>
              <w:t>1500 words</w:t>
            </w:r>
          </w:p>
          <w:p w14:paraId="6040F887" w14:textId="77777777" w:rsidR="00C81A17" w:rsidRPr="007947D4" w:rsidRDefault="00C81A17" w:rsidP="005F1FBB">
            <w:pPr>
              <w:tabs>
                <w:tab w:val="left" w:pos="2268"/>
              </w:tabs>
              <w:spacing w:before="120" w:after="120"/>
              <w:ind w:right="-57"/>
              <w:rPr>
                <w:rFonts w:eastAsia="Calibri"/>
                <w:noProof/>
                <w:sz w:val="20"/>
                <w:szCs w:val="20"/>
              </w:rPr>
            </w:pPr>
            <w:r w:rsidRPr="00745DC7">
              <w:rPr>
                <w:rFonts w:eastAsia="Calibri"/>
                <w:noProof/>
                <w:sz w:val="20"/>
                <w:szCs w:val="20"/>
              </w:rPr>
              <w:t>Weighting:</w:t>
            </w:r>
            <w:r w:rsidRPr="00745DC7">
              <w:rPr>
                <w:rFonts w:eastAsia="Calibri"/>
                <w:noProof/>
                <w:sz w:val="20"/>
                <w:szCs w:val="20"/>
              </w:rPr>
              <w:tab/>
            </w:r>
            <w:r w:rsidRPr="0093777A">
              <w:rPr>
                <w:rFonts w:eastAsia="Calibri"/>
                <w:noProof/>
                <w:sz w:val="20"/>
                <w:szCs w:val="20"/>
              </w:rPr>
              <w:t>30%</w:t>
            </w:r>
          </w:p>
          <w:p w14:paraId="378B3AF8" w14:textId="77777777" w:rsidR="00C81A17" w:rsidRDefault="00C81A17" w:rsidP="005F1FBB">
            <w:pPr>
              <w:tabs>
                <w:tab w:val="left" w:pos="460"/>
              </w:tabs>
              <w:spacing w:before="120" w:after="120"/>
              <w:ind w:left="460" w:right="-57" w:hanging="460"/>
              <w:rPr>
                <w:rFonts w:ascii="Calibri" w:eastAsia="Calibri" w:hAnsi="Calibri" w:cs="Times New Roman"/>
                <w:noProof/>
                <w:sz w:val="20"/>
                <w:szCs w:val="20"/>
              </w:rPr>
            </w:pPr>
            <w:r>
              <w:rPr>
                <w:rFonts w:eastAsia="Calibri"/>
                <w:noProof/>
                <w:sz w:val="20"/>
                <w:szCs w:val="20"/>
              </w:rPr>
              <w:t>Assessed:</w:t>
            </w:r>
            <w:r>
              <w:rPr>
                <w:rFonts w:eastAsia="Calibri"/>
                <w:noProof/>
                <w:sz w:val="20"/>
                <w:szCs w:val="20"/>
              </w:rPr>
              <w:tab/>
              <w:t xml:space="preserve">                  </w:t>
            </w:r>
            <w:r w:rsidRPr="0093777A">
              <w:rPr>
                <w:rFonts w:ascii="Calibri" w:eastAsia="Calibri" w:hAnsi="Calibri" w:cs="Times New Roman"/>
                <w:noProof/>
                <w:sz w:val="20"/>
                <w:szCs w:val="20"/>
              </w:rPr>
              <w:t>7</w:t>
            </w:r>
          </w:p>
          <w:p w14:paraId="73621375" w14:textId="77777777" w:rsidR="00C81A17" w:rsidRDefault="00C81A17" w:rsidP="0061315E">
            <w:pPr>
              <w:spacing w:before="120" w:after="240"/>
              <w:ind w:left="20" w:right="-57"/>
              <w:rPr>
                <w:rFonts w:ascii="Calibri" w:eastAsia="Calibri" w:hAnsi="Calibri" w:cs="Times New Roman"/>
                <w:noProof/>
                <w:sz w:val="20"/>
                <w:szCs w:val="20"/>
              </w:rPr>
            </w:pPr>
          </w:p>
          <w:p w14:paraId="149167C4" w14:textId="77777777" w:rsidR="00C81A17" w:rsidRDefault="00C81A17" w:rsidP="00CA3C76">
            <w:pPr>
              <w:spacing w:before="120" w:after="240"/>
              <w:ind w:left="20" w:right="-57"/>
              <w:rPr>
                <w:rFonts w:ascii="Calibri" w:eastAsia="Calibri" w:hAnsi="Calibri" w:cs="Times New Roman"/>
                <w:noProof/>
                <w:sz w:val="20"/>
                <w:szCs w:val="20"/>
              </w:rPr>
            </w:pPr>
            <w:r>
              <w:rPr>
                <w:rFonts w:ascii="Calibri" w:eastAsia="Calibri" w:hAnsi="Calibri" w:cs="Times New Roman"/>
                <w:noProof/>
                <w:sz w:val="20"/>
                <w:szCs w:val="20"/>
              </w:rPr>
              <w:t>A percentage weighting is assigned to the Professional experience Folio to indicate its relative contribution to the assessment load for the unit. Successful completion of the Professional experience folio will constitute and ungraded pass and as such will not contribute to the calculation of the final unit grade.</w:t>
            </w:r>
          </w:p>
          <w:p w14:paraId="29469236" w14:textId="77777777" w:rsidR="00C81A17" w:rsidRPr="006B5387" w:rsidRDefault="00C81A17" w:rsidP="005F1FBB">
            <w:pPr>
              <w:tabs>
                <w:tab w:val="left" w:pos="2268"/>
              </w:tabs>
              <w:spacing w:before="120" w:after="240"/>
              <w:ind w:right="-57"/>
              <w:rPr>
                <w:rFonts w:ascii="Calibri" w:eastAsia="Calibri" w:hAnsi="Calibri" w:cs="Times New Roman"/>
                <w:noProof/>
                <w:sz w:val="20"/>
                <w:szCs w:val="20"/>
              </w:rPr>
            </w:pPr>
          </w:p>
        </w:tc>
      </w:tr>
      <w:tr w:rsidR="00C81A17" w:rsidRPr="007C3638" w14:paraId="3FA12129" w14:textId="77777777" w:rsidTr="0017242C">
        <w:tc>
          <w:tcPr>
            <w:tcW w:w="1744" w:type="dxa"/>
            <w:shd w:val="clear" w:color="auto" w:fill="auto"/>
          </w:tcPr>
          <w:p w14:paraId="7B260688" w14:textId="77777777" w:rsidR="00C81A17" w:rsidRPr="00116300" w:rsidRDefault="00C81A17" w:rsidP="005F1FBB">
            <w:pPr>
              <w:spacing w:before="120" w:after="120"/>
              <w:ind w:right="-57"/>
              <w:rPr>
                <w:rFonts w:ascii="Calibri" w:eastAsia="Calibri" w:hAnsi="Calibri" w:cs="Times New Roman"/>
                <w:b/>
                <w:sz w:val="20"/>
                <w:szCs w:val="20"/>
              </w:rPr>
            </w:pPr>
            <w:r w:rsidRPr="00116300">
              <w:rPr>
                <w:rFonts w:ascii="Calibri" w:eastAsia="Calibri" w:hAnsi="Calibri" w:cs="Times New Roman"/>
                <w:b/>
                <w:sz w:val="20"/>
                <w:szCs w:val="20"/>
              </w:rPr>
              <w:t>Assessment</w:t>
            </w:r>
            <w:r>
              <w:rPr>
                <w:rFonts w:ascii="Calibri" w:eastAsia="Calibri" w:hAnsi="Calibri" w:cs="Times New Roman"/>
                <w:b/>
                <w:sz w:val="20"/>
                <w:szCs w:val="20"/>
              </w:rPr>
              <w:t xml:space="preserve"> </w:t>
            </w:r>
            <w:r w:rsidRPr="00116300">
              <w:rPr>
                <w:rFonts w:ascii="Calibri" w:eastAsia="Calibri" w:hAnsi="Calibri" w:cs="Times New Roman"/>
                <w:b/>
                <w:sz w:val="20"/>
                <w:szCs w:val="20"/>
              </w:rPr>
              <w:t>alignment</w:t>
            </w:r>
          </w:p>
        </w:tc>
        <w:tc>
          <w:tcPr>
            <w:tcW w:w="7959"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126"/>
              <w:gridCol w:w="1857"/>
              <w:gridCol w:w="1843"/>
            </w:tblGrid>
            <w:tr w:rsidR="00C81A17" w:rsidRPr="00116300" w14:paraId="7E274E0D" w14:textId="77777777" w:rsidTr="0017242C">
              <w:tc>
                <w:tcPr>
                  <w:tcW w:w="1687" w:type="dxa"/>
                  <w:tcBorders>
                    <w:bottom w:val="single" w:sz="4" w:space="0" w:color="auto"/>
                  </w:tcBorders>
                  <w:shd w:val="clear" w:color="auto" w:fill="auto"/>
                </w:tcPr>
                <w:p w14:paraId="7CD5778E" w14:textId="77777777" w:rsidR="00C81A17" w:rsidRPr="00116300" w:rsidRDefault="00C81A17" w:rsidP="005F1FBB">
                  <w:pPr>
                    <w:tabs>
                      <w:tab w:val="left" w:pos="460"/>
                    </w:tabs>
                    <w:spacing w:before="120" w:after="120"/>
                    <w:ind w:right="-57"/>
                    <w:jc w:val="center"/>
                    <w:rPr>
                      <w:rFonts w:ascii="Calibri" w:hAnsi="Calibri"/>
                      <w:b/>
                      <w:sz w:val="20"/>
                      <w:szCs w:val="20"/>
                    </w:rPr>
                  </w:pPr>
                  <w:r w:rsidRPr="00116300">
                    <w:rPr>
                      <w:rFonts w:ascii="Calibri" w:hAnsi="Calibri"/>
                      <w:b/>
                      <w:sz w:val="20"/>
                      <w:szCs w:val="20"/>
                    </w:rPr>
                    <w:t>Assessment Task</w:t>
                  </w:r>
                </w:p>
              </w:tc>
              <w:tc>
                <w:tcPr>
                  <w:tcW w:w="2126" w:type="dxa"/>
                  <w:tcBorders>
                    <w:bottom w:val="single" w:sz="4" w:space="0" w:color="auto"/>
                  </w:tcBorders>
                  <w:shd w:val="clear" w:color="auto" w:fill="auto"/>
                </w:tcPr>
                <w:p w14:paraId="24586F02" w14:textId="77777777" w:rsidR="00C81A17" w:rsidRPr="00116300" w:rsidRDefault="00C81A17" w:rsidP="005F1FBB">
                  <w:pPr>
                    <w:tabs>
                      <w:tab w:val="left" w:pos="460"/>
                    </w:tabs>
                    <w:spacing w:before="120" w:after="120"/>
                    <w:ind w:right="-57"/>
                    <w:jc w:val="center"/>
                    <w:rPr>
                      <w:rFonts w:ascii="Calibri" w:hAnsi="Calibri"/>
                      <w:b/>
                      <w:sz w:val="20"/>
                      <w:szCs w:val="20"/>
                    </w:rPr>
                  </w:pPr>
                  <w:r w:rsidRPr="00116300">
                    <w:rPr>
                      <w:rFonts w:ascii="Calibri" w:hAnsi="Calibri"/>
                      <w:b/>
                      <w:sz w:val="20"/>
                      <w:szCs w:val="20"/>
                    </w:rPr>
                    <w:t>Learning Outcome</w:t>
                  </w:r>
                </w:p>
              </w:tc>
              <w:tc>
                <w:tcPr>
                  <w:tcW w:w="1857" w:type="dxa"/>
                  <w:tcBorders>
                    <w:bottom w:val="single" w:sz="4" w:space="0" w:color="auto"/>
                  </w:tcBorders>
                  <w:shd w:val="clear" w:color="auto" w:fill="auto"/>
                </w:tcPr>
                <w:p w14:paraId="6FA77345" w14:textId="77777777" w:rsidR="00C81A17" w:rsidRPr="00116300" w:rsidRDefault="00C81A17" w:rsidP="005F1FBB">
                  <w:pPr>
                    <w:tabs>
                      <w:tab w:val="left" w:pos="460"/>
                    </w:tabs>
                    <w:spacing w:before="120" w:after="120"/>
                    <w:ind w:right="-57"/>
                    <w:jc w:val="center"/>
                    <w:rPr>
                      <w:rFonts w:ascii="Calibri" w:hAnsi="Calibri"/>
                      <w:b/>
                      <w:sz w:val="20"/>
                      <w:szCs w:val="20"/>
                    </w:rPr>
                  </w:pPr>
                  <w:r w:rsidRPr="00116300">
                    <w:rPr>
                      <w:rFonts w:ascii="Calibri" w:hAnsi="Calibri"/>
                      <w:b/>
                      <w:sz w:val="20"/>
                      <w:szCs w:val="20"/>
                    </w:rPr>
                    <w:t xml:space="preserve">Content </w:t>
                  </w:r>
                </w:p>
              </w:tc>
              <w:tc>
                <w:tcPr>
                  <w:tcW w:w="1843" w:type="dxa"/>
                  <w:tcBorders>
                    <w:bottom w:val="single" w:sz="4" w:space="0" w:color="auto"/>
                  </w:tcBorders>
                  <w:shd w:val="clear" w:color="auto" w:fill="auto"/>
                </w:tcPr>
                <w:p w14:paraId="05FE0C37" w14:textId="77777777" w:rsidR="00C81A17" w:rsidRPr="00116300" w:rsidRDefault="00C81A17" w:rsidP="005F1FBB">
                  <w:pPr>
                    <w:tabs>
                      <w:tab w:val="left" w:pos="460"/>
                    </w:tabs>
                    <w:spacing w:before="120" w:after="120"/>
                    <w:ind w:right="-57"/>
                    <w:jc w:val="center"/>
                    <w:rPr>
                      <w:rFonts w:ascii="Calibri" w:hAnsi="Calibri"/>
                      <w:b/>
                      <w:sz w:val="20"/>
                      <w:szCs w:val="20"/>
                    </w:rPr>
                  </w:pPr>
                  <w:r w:rsidRPr="00116300">
                    <w:rPr>
                      <w:rFonts w:ascii="Calibri" w:hAnsi="Calibri"/>
                      <w:b/>
                      <w:sz w:val="20"/>
                      <w:szCs w:val="20"/>
                    </w:rPr>
                    <w:t>Graduate Teacher Standards</w:t>
                  </w:r>
                </w:p>
              </w:tc>
            </w:tr>
            <w:tr w:rsidR="00C81A17" w:rsidRPr="00116300" w14:paraId="28F70DCC" w14:textId="77777777" w:rsidTr="0017242C">
              <w:tc>
                <w:tcPr>
                  <w:tcW w:w="1687" w:type="dxa"/>
                  <w:tcBorders>
                    <w:top w:val="single" w:sz="4" w:space="0" w:color="auto"/>
                    <w:left w:val="single" w:sz="4" w:space="0" w:color="auto"/>
                    <w:bottom w:val="single" w:sz="4" w:space="0" w:color="auto"/>
                    <w:right w:val="single" w:sz="4" w:space="0" w:color="auto"/>
                  </w:tcBorders>
                </w:tcPr>
                <w:p w14:paraId="44EA5224" w14:textId="77777777" w:rsidR="00C81A17" w:rsidRPr="00116300" w:rsidRDefault="00C81A17" w:rsidP="005F1FBB">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1</w:t>
                  </w:r>
                </w:p>
              </w:tc>
              <w:tc>
                <w:tcPr>
                  <w:tcW w:w="2126" w:type="dxa"/>
                  <w:tcBorders>
                    <w:top w:val="single" w:sz="4" w:space="0" w:color="auto"/>
                    <w:left w:val="single" w:sz="4" w:space="0" w:color="auto"/>
                    <w:bottom w:val="single" w:sz="4" w:space="0" w:color="auto"/>
                    <w:right w:val="single" w:sz="4" w:space="0" w:color="auto"/>
                  </w:tcBorders>
                </w:tcPr>
                <w:p w14:paraId="6C5E0E03" w14:textId="77777777" w:rsidR="00C81A17" w:rsidRPr="00116300" w:rsidRDefault="00C81A17" w:rsidP="005F1FBB">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1, 2, 4</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F4C683F" w14:textId="77777777" w:rsidR="00C81A17" w:rsidRPr="00116300" w:rsidRDefault="00C81A17" w:rsidP="005F1FBB">
                  <w:pPr>
                    <w:tabs>
                      <w:tab w:val="left" w:pos="460"/>
                    </w:tabs>
                    <w:spacing w:before="120" w:after="120"/>
                    <w:ind w:right="-57"/>
                    <w:jc w:val="center"/>
                    <w:rPr>
                      <w:rFonts w:ascii="Calibri" w:hAnsi="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1482D19" w14:textId="77777777" w:rsidR="00C81A17" w:rsidRPr="00116300" w:rsidRDefault="00C81A17" w:rsidP="005F1FBB">
                  <w:pPr>
                    <w:tabs>
                      <w:tab w:val="left" w:pos="460"/>
                    </w:tabs>
                    <w:spacing w:before="120" w:after="120"/>
                    <w:ind w:right="-57"/>
                    <w:jc w:val="center"/>
                    <w:rPr>
                      <w:rFonts w:ascii="Calibri" w:hAnsi="Calibri"/>
                      <w:sz w:val="20"/>
                      <w:szCs w:val="20"/>
                    </w:rPr>
                  </w:pPr>
                </w:p>
              </w:tc>
            </w:tr>
            <w:tr w:rsidR="00C81A17" w:rsidRPr="00116300" w14:paraId="32A475B0" w14:textId="77777777" w:rsidTr="0017242C">
              <w:tc>
                <w:tcPr>
                  <w:tcW w:w="1687" w:type="dxa"/>
                  <w:tcBorders>
                    <w:top w:val="single" w:sz="4" w:space="0" w:color="auto"/>
                    <w:left w:val="single" w:sz="4" w:space="0" w:color="auto"/>
                    <w:bottom w:val="single" w:sz="4" w:space="0" w:color="auto"/>
                    <w:right w:val="single" w:sz="4" w:space="0" w:color="auto"/>
                  </w:tcBorders>
                </w:tcPr>
                <w:p w14:paraId="28D90C4C" w14:textId="77777777" w:rsidR="00C81A17" w:rsidRPr="00116300" w:rsidRDefault="00C81A17" w:rsidP="005F1FBB">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2</w:t>
                  </w:r>
                </w:p>
              </w:tc>
              <w:tc>
                <w:tcPr>
                  <w:tcW w:w="2126" w:type="dxa"/>
                  <w:tcBorders>
                    <w:top w:val="single" w:sz="4" w:space="0" w:color="auto"/>
                    <w:left w:val="single" w:sz="4" w:space="0" w:color="auto"/>
                    <w:bottom w:val="single" w:sz="4" w:space="0" w:color="auto"/>
                    <w:right w:val="single" w:sz="4" w:space="0" w:color="auto"/>
                  </w:tcBorders>
                </w:tcPr>
                <w:p w14:paraId="29B99A80" w14:textId="77777777" w:rsidR="00C81A17" w:rsidRPr="00116300" w:rsidRDefault="00C81A17" w:rsidP="005F1FBB">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1-5</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068E0A3" w14:textId="77777777" w:rsidR="00C81A17" w:rsidRPr="00116300" w:rsidRDefault="00C81A17" w:rsidP="005F1FBB">
                  <w:pPr>
                    <w:tabs>
                      <w:tab w:val="left" w:pos="460"/>
                    </w:tabs>
                    <w:spacing w:before="120" w:after="120"/>
                    <w:ind w:right="-57"/>
                    <w:jc w:val="center"/>
                    <w:rPr>
                      <w:rFonts w:ascii="Calibri" w:hAnsi="Calibr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27EB9A2" w14:textId="77777777" w:rsidR="00C81A17" w:rsidRPr="00116300" w:rsidRDefault="00C81A17" w:rsidP="005F1FBB">
                  <w:pPr>
                    <w:tabs>
                      <w:tab w:val="left" w:pos="460"/>
                    </w:tabs>
                    <w:spacing w:before="120" w:after="120"/>
                    <w:ind w:right="-57"/>
                    <w:jc w:val="center"/>
                    <w:rPr>
                      <w:rFonts w:ascii="Calibri" w:hAnsi="Calibri"/>
                      <w:sz w:val="20"/>
                      <w:szCs w:val="20"/>
                    </w:rPr>
                  </w:pPr>
                </w:p>
              </w:tc>
            </w:tr>
          </w:tbl>
          <w:p w14:paraId="6A43A1C0" w14:textId="77777777" w:rsidR="00C81A17" w:rsidRPr="00116300" w:rsidRDefault="00C81A17" w:rsidP="005F1FBB">
            <w:pPr>
              <w:tabs>
                <w:tab w:val="center" w:pos="990"/>
                <w:tab w:val="center" w:pos="2833"/>
                <w:tab w:val="center" w:pos="4818"/>
                <w:tab w:val="center" w:pos="6660"/>
              </w:tabs>
              <w:spacing w:before="120" w:after="120"/>
              <w:ind w:left="1440" w:right="-57"/>
              <w:rPr>
                <w:rFonts w:ascii="Calibri" w:hAnsi="Calibri"/>
                <w:sz w:val="20"/>
                <w:szCs w:val="20"/>
              </w:rPr>
            </w:pPr>
          </w:p>
        </w:tc>
      </w:tr>
      <w:tr w:rsidR="00C81A17" w:rsidRPr="007C3638" w14:paraId="0010B87D" w14:textId="77777777" w:rsidTr="0017242C">
        <w:tc>
          <w:tcPr>
            <w:tcW w:w="1744" w:type="dxa"/>
            <w:shd w:val="clear" w:color="auto" w:fill="auto"/>
          </w:tcPr>
          <w:p w14:paraId="2381F6A4" w14:textId="77777777" w:rsidR="00C81A17" w:rsidRPr="007C3638" w:rsidRDefault="00C81A17" w:rsidP="005F1FBB">
            <w:pPr>
              <w:spacing w:before="240"/>
              <w:ind w:right="-57"/>
              <w:rPr>
                <w:rFonts w:ascii="Calibri" w:eastAsia="Calibri" w:hAnsi="Calibri" w:cs="Times New Roman"/>
                <w:b/>
                <w:sz w:val="20"/>
                <w:szCs w:val="20"/>
              </w:rPr>
            </w:pPr>
            <w:r w:rsidRPr="007C3638">
              <w:rPr>
                <w:rFonts w:ascii="Calibri" w:eastAsia="Calibri" w:hAnsi="Calibri" w:cs="Times New Roman"/>
                <w:b/>
                <w:sz w:val="20"/>
                <w:szCs w:val="20"/>
              </w:rPr>
              <w:t>Prescribed text(s)</w:t>
            </w:r>
          </w:p>
        </w:tc>
        <w:tc>
          <w:tcPr>
            <w:tcW w:w="7959" w:type="dxa"/>
            <w:shd w:val="clear" w:color="auto" w:fill="auto"/>
          </w:tcPr>
          <w:p w14:paraId="4BDFB5C3" w14:textId="77777777" w:rsidR="00C81A17" w:rsidRDefault="00C81A17" w:rsidP="005F1FBB">
            <w:pPr>
              <w:tabs>
                <w:tab w:val="left" w:pos="460"/>
              </w:tabs>
              <w:spacing w:before="240"/>
              <w:ind w:right="-57"/>
              <w:rPr>
                <w:rFonts w:ascii="Calibri" w:hAnsi="Calibri"/>
                <w:sz w:val="20"/>
                <w:szCs w:val="20"/>
              </w:rPr>
            </w:pPr>
            <w:r w:rsidRPr="0093777A">
              <w:rPr>
                <w:rFonts w:ascii="Calibri" w:hAnsi="Calibri"/>
                <w:noProof/>
                <w:sz w:val="20"/>
                <w:szCs w:val="20"/>
              </w:rPr>
              <w:t>Stewart, J. (2015).</w:t>
            </w:r>
            <w:r w:rsidRPr="008E6725">
              <w:rPr>
                <w:rFonts w:ascii="Calibri" w:hAnsi="Calibri"/>
                <w:i/>
                <w:sz w:val="20"/>
                <w:szCs w:val="20"/>
              </w:rPr>
              <w:t xml:space="preserve"> </w:t>
            </w:r>
            <w:r w:rsidRPr="0093777A">
              <w:rPr>
                <w:rFonts w:ascii="Calibri" w:hAnsi="Calibri"/>
                <w:i/>
                <w:noProof/>
                <w:sz w:val="20"/>
                <w:szCs w:val="20"/>
              </w:rPr>
              <w:t>Calculus: Early transcendentals (8th ed.).</w:t>
            </w:r>
            <w:r>
              <w:rPr>
                <w:rFonts w:ascii="Calibri" w:hAnsi="Calibri"/>
                <w:sz w:val="20"/>
                <w:szCs w:val="20"/>
              </w:rPr>
              <w:t xml:space="preserve"> </w:t>
            </w:r>
            <w:r w:rsidRPr="0093777A">
              <w:rPr>
                <w:rFonts w:ascii="Calibri" w:hAnsi="Calibri"/>
                <w:noProof/>
                <w:sz w:val="20"/>
                <w:szCs w:val="20"/>
              </w:rPr>
              <w:t>Boston, MA: Cengage Learning.</w:t>
            </w:r>
          </w:p>
          <w:p w14:paraId="604CDEEB" w14:textId="77777777" w:rsidR="00C81A17" w:rsidRPr="00027513" w:rsidRDefault="00C81A17" w:rsidP="005F1FBB">
            <w:pPr>
              <w:tabs>
                <w:tab w:val="left" w:pos="460"/>
              </w:tabs>
              <w:spacing w:before="120" w:after="120"/>
              <w:ind w:right="-57"/>
              <w:rPr>
                <w:rFonts w:ascii="Calibri" w:hAnsi="Calibri"/>
                <w:b/>
                <w:sz w:val="20"/>
                <w:szCs w:val="20"/>
              </w:rPr>
            </w:pPr>
            <w:r w:rsidRPr="0065336C">
              <w:rPr>
                <w:rFonts w:cs="Arial"/>
                <w:color w:val="000000"/>
                <w:sz w:val="20"/>
                <w:szCs w:val="18"/>
              </w:rPr>
              <w:t>Selected readings will be available via the Moodle™ site for this unit</w:t>
            </w:r>
            <w:r>
              <w:rPr>
                <w:rFonts w:cs="Arial"/>
                <w:color w:val="000000"/>
                <w:sz w:val="20"/>
                <w:szCs w:val="18"/>
              </w:rPr>
              <w:t>.</w:t>
            </w:r>
          </w:p>
        </w:tc>
      </w:tr>
      <w:tr w:rsidR="00C81A17" w:rsidRPr="007C3638" w14:paraId="21A84256" w14:textId="77777777" w:rsidTr="0017242C">
        <w:tc>
          <w:tcPr>
            <w:tcW w:w="1744" w:type="dxa"/>
            <w:shd w:val="clear" w:color="auto" w:fill="auto"/>
          </w:tcPr>
          <w:p w14:paraId="1C824218" w14:textId="77777777" w:rsidR="00C81A17" w:rsidRPr="007C3638" w:rsidRDefault="00C81A17" w:rsidP="005F1FBB">
            <w:pPr>
              <w:spacing w:before="120" w:after="120"/>
              <w:ind w:right="-57"/>
              <w:rPr>
                <w:rFonts w:ascii="Calibri" w:hAnsi="Calibri"/>
                <w:b/>
                <w:sz w:val="20"/>
                <w:szCs w:val="20"/>
              </w:rPr>
            </w:pPr>
            <w:r w:rsidRPr="007C3638">
              <w:rPr>
                <w:rFonts w:ascii="Calibri" w:eastAsia="Calibri" w:hAnsi="Calibri" w:cs="Times New Roman"/>
                <w:b/>
                <w:sz w:val="20"/>
                <w:szCs w:val="20"/>
              </w:rPr>
              <w:t>Recommended readings</w:t>
            </w:r>
          </w:p>
        </w:tc>
        <w:tc>
          <w:tcPr>
            <w:tcW w:w="7959" w:type="dxa"/>
            <w:shd w:val="clear" w:color="auto" w:fill="auto"/>
          </w:tcPr>
          <w:p w14:paraId="4C2E4C6A" w14:textId="77777777" w:rsidR="00C81A17" w:rsidRDefault="00C81A17"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Adams, R.A., &amp; Essex, C. (2013).</w:t>
            </w:r>
            <w:r>
              <w:rPr>
                <w:rFonts w:ascii="Calibri" w:hAnsi="Calibri"/>
                <w:sz w:val="20"/>
                <w:szCs w:val="20"/>
              </w:rPr>
              <w:t xml:space="preserve"> </w:t>
            </w:r>
            <w:r w:rsidRPr="0093777A">
              <w:rPr>
                <w:rFonts w:ascii="Calibri" w:hAnsi="Calibri"/>
                <w:i/>
                <w:noProof/>
                <w:sz w:val="20"/>
                <w:szCs w:val="20"/>
              </w:rPr>
              <w:t>Calculus: A complete course (8th ed.).</w:t>
            </w:r>
            <w:r>
              <w:rPr>
                <w:rFonts w:ascii="Calibri" w:hAnsi="Calibri"/>
                <w:sz w:val="20"/>
                <w:szCs w:val="20"/>
              </w:rPr>
              <w:t xml:space="preserve"> </w:t>
            </w:r>
            <w:r w:rsidRPr="0093777A">
              <w:rPr>
                <w:rFonts w:ascii="Calibri" w:hAnsi="Calibri"/>
                <w:noProof/>
                <w:sz w:val="20"/>
                <w:szCs w:val="20"/>
              </w:rPr>
              <w:t>New York, NY: Pearson.</w:t>
            </w:r>
          </w:p>
          <w:p w14:paraId="273660BE" w14:textId="77777777" w:rsidR="00C81A17" w:rsidRDefault="00C81A17"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Anton, H., Bivens, I., &amp; Davis, S. (2012).</w:t>
            </w:r>
            <w:r>
              <w:rPr>
                <w:rFonts w:ascii="Calibri" w:hAnsi="Calibri"/>
                <w:sz w:val="20"/>
                <w:szCs w:val="20"/>
              </w:rPr>
              <w:t xml:space="preserve"> </w:t>
            </w:r>
            <w:r w:rsidRPr="0093777A">
              <w:rPr>
                <w:rFonts w:ascii="Calibri" w:hAnsi="Calibri"/>
                <w:i/>
                <w:noProof/>
                <w:sz w:val="20"/>
                <w:szCs w:val="20"/>
              </w:rPr>
              <w:t>Calculus: Early transcendentals. (10th ed.)</w:t>
            </w:r>
            <w:r>
              <w:rPr>
                <w:rFonts w:ascii="Calibri" w:hAnsi="Calibri"/>
                <w:sz w:val="20"/>
                <w:szCs w:val="20"/>
              </w:rPr>
              <w:t xml:space="preserve"> </w:t>
            </w:r>
            <w:r w:rsidRPr="0093777A">
              <w:rPr>
                <w:rFonts w:ascii="Calibri" w:hAnsi="Calibri"/>
                <w:noProof/>
                <w:sz w:val="20"/>
                <w:szCs w:val="20"/>
              </w:rPr>
              <w:t>New York, NY: Wiley.</w:t>
            </w:r>
          </w:p>
          <w:p w14:paraId="6C2A1184" w14:textId="77777777" w:rsidR="00C81A17" w:rsidRDefault="00C81A17"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Edwards, C.H., &amp; Penney, D.E. (2002).</w:t>
            </w:r>
            <w:r>
              <w:rPr>
                <w:rFonts w:ascii="Calibri" w:hAnsi="Calibri"/>
                <w:sz w:val="20"/>
                <w:szCs w:val="20"/>
              </w:rPr>
              <w:t xml:space="preserve"> </w:t>
            </w:r>
            <w:r w:rsidRPr="0093777A">
              <w:rPr>
                <w:rFonts w:ascii="Calibri" w:hAnsi="Calibri"/>
                <w:i/>
                <w:noProof/>
                <w:sz w:val="20"/>
                <w:szCs w:val="20"/>
              </w:rPr>
              <w:t>Calculus, early transcendentals (matrix version) (6th ed.).</w:t>
            </w:r>
            <w:r>
              <w:rPr>
                <w:rFonts w:ascii="Calibri" w:hAnsi="Calibri"/>
                <w:sz w:val="20"/>
                <w:szCs w:val="20"/>
              </w:rPr>
              <w:t xml:space="preserve"> </w:t>
            </w:r>
            <w:r w:rsidRPr="0093777A">
              <w:rPr>
                <w:rFonts w:ascii="Calibri" w:hAnsi="Calibri"/>
                <w:noProof/>
                <w:sz w:val="20"/>
                <w:szCs w:val="20"/>
              </w:rPr>
              <w:t>Essex, UK: Prentice Hall.</w:t>
            </w:r>
          </w:p>
          <w:p w14:paraId="24EEF382" w14:textId="77777777" w:rsidR="00C81A17" w:rsidRDefault="00C81A17"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Fitzgerald, G.F., &amp; Peckham, E.A. (2005).</w:t>
            </w:r>
            <w:r>
              <w:rPr>
                <w:rFonts w:ascii="Calibri" w:hAnsi="Calibri"/>
                <w:sz w:val="20"/>
                <w:szCs w:val="20"/>
              </w:rPr>
              <w:t xml:space="preserve"> </w:t>
            </w:r>
            <w:r w:rsidRPr="0093777A">
              <w:rPr>
                <w:rFonts w:ascii="Calibri" w:hAnsi="Calibri"/>
                <w:i/>
                <w:noProof/>
                <w:sz w:val="20"/>
                <w:szCs w:val="20"/>
              </w:rPr>
              <w:t>Mathematical methods for engineers and scientists (4th ed.).</w:t>
            </w:r>
            <w:r>
              <w:rPr>
                <w:rFonts w:ascii="Calibri" w:hAnsi="Calibri"/>
                <w:sz w:val="20"/>
                <w:szCs w:val="20"/>
              </w:rPr>
              <w:t xml:space="preserve"> </w:t>
            </w:r>
            <w:r w:rsidRPr="0093777A">
              <w:rPr>
                <w:rFonts w:ascii="Calibri" w:hAnsi="Calibri"/>
                <w:noProof/>
                <w:sz w:val="20"/>
                <w:szCs w:val="20"/>
              </w:rPr>
              <w:t>Essex, UK: Prentice-Hall.</w:t>
            </w:r>
          </w:p>
          <w:p w14:paraId="7E00941F" w14:textId="77777777" w:rsidR="00C81A17" w:rsidRDefault="00C81A17"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Larson, R., &amp; Edwards, B. H. (2014).</w:t>
            </w:r>
            <w:r>
              <w:rPr>
                <w:rFonts w:ascii="Calibri" w:hAnsi="Calibri"/>
                <w:sz w:val="20"/>
                <w:szCs w:val="20"/>
              </w:rPr>
              <w:t xml:space="preserve"> </w:t>
            </w:r>
            <w:r w:rsidRPr="0093777A">
              <w:rPr>
                <w:rFonts w:ascii="Calibri" w:hAnsi="Calibri"/>
                <w:i/>
                <w:noProof/>
                <w:sz w:val="20"/>
                <w:szCs w:val="20"/>
              </w:rPr>
              <w:t>Calculus (10th ed.).</w:t>
            </w:r>
            <w:r>
              <w:rPr>
                <w:rFonts w:ascii="Calibri" w:hAnsi="Calibri"/>
                <w:sz w:val="20"/>
                <w:szCs w:val="20"/>
              </w:rPr>
              <w:t xml:space="preserve"> </w:t>
            </w:r>
            <w:r w:rsidRPr="0093777A">
              <w:rPr>
                <w:rFonts w:ascii="Calibri" w:hAnsi="Calibri"/>
                <w:noProof/>
                <w:sz w:val="20"/>
                <w:szCs w:val="20"/>
              </w:rPr>
              <w:t>Boston, MA: Cengage Learning.</w:t>
            </w:r>
          </w:p>
          <w:p w14:paraId="773F578E" w14:textId="77777777" w:rsidR="00C81A17" w:rsidRDefault="00C81A17"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Washington, A. (2013).</w:t>
            </w:r>
            <w:r>
              <w:rPr>
                <w:rFonts w:ascii="Calibri" w:hAnsi="Calibri"/>
                <w:sz w:val="20"/>
                <w:szCs w:val="20"/>
              </w:rPr>
              <w:t xml:space="preserve"> </w:t>
            </w:r>
            <w:r w:rsidRPr="0093777A">
              <w:rPr>
                <w:rFonts w:ascii="Calibri" w:hAnsi="Calibri"/>
                <w:i/>
                <w:noProof/>
                <w:sz w:val="20"/>
                <w:szCs w:val="20"/>
              </w:rPr>
              <w:t>Basic technical mathematics with calculus (10th ed.).</w:t>
            </w:r>
            <w:r>
              <w:rPr>
                <w:rFonts w:ascii="Calibri" w:hAnsi="Calibri"/>
                <w:sz w:val="20"/>
                <w:szCs w:val="20"/>
              </w:rPr>
              <w:t xml:space="preserve"> </w:t>
            </w:r>
            <w:r w:rsidRPr="0093777A">
              <w:rPr>
                <w:rFonts w:ascii="Calibri" w:hAnsi="Calibri"/>
                <w:noProof/>
                <w:sz w:val="20"/>
                <w:szCs w:val="20"/>
              </w:rPr>
              <w:t>New York, NY: Pearson.</w:t>
            </w:r>
          </w:p>
          <w:p w14:paraId="540ECACF" w14:textId="77777777" w:rsidR="00C81A17" w:rsidRPr="0010482E" w:rsidRDefault="00C81A17" w:rsidP="005F1FBB">
            <w:pPr>
              <w:spacing w:before="120" w:after="120"/>
              <w:ind w:right="-57"/>
              <w:rPr>
                <w:rFonts w:ascii="Calibri" w:eastAsia="Calibri" w:hAnsi="Calibri"/>
                <w:noProof/>
                <w:sz w:val="20"/>
                <w:szCs w:val="20"/>
              </w:rPr>
            </w:pPr>
            <w:r w:rsidRPr="0010482E">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56875A83" w14:textId="77777777" w:rsidR="00C81A17" w:rsidRPr="007C3638" w:rsidRDefault="00C81A17" w:rsidP="005F1FBB">
            <w:pPr>
              <w:spacing w:before="120" w:after="120"/>
              <w:ind w:right="-57"/>
              <w:rPr>
                <w:rFonts w:ascii="Calibri" w:hAnsi="Calibri"/>
                <w:sz w:val="20"/>
                <w:szCs w:val="20"/>
              </w:rPr>
            </w:pPr>
            <w:r w:rsidRPr="0010482E">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C81A17" w:rsidRPr="007C3638" w14:paraId="13C97753" w14:textId="77777777" w:rsidTr="0017242C">
        <w:tc>
          <w:tcPr>
            <w:tcW w:w="1744" w:type="dxa"/>
            <w:shd w:val="clear" w:color="auto" w:fill="auto"/>
          </w:tcPr>
          <w:p w14:paraId="4F05A28D" w14:textId="77777777" w:rsidR="00C81A17" w:rsidRPr="00495D82" w:rsidRDefault="00C81A17" w:rsidP="005F1FBB">
            <w:pPr>
              <w:spacing w:before="120" w:after="120"/>
              <w:ind w:right="-57"/>
              <w:rPr>
                <w:rFonts w:ascii="Calibri" w:hAnsi="Calibri"/>
                <w:b/>
                <w:sz w:val="20"/>
                <w:szCs w:val="20"/>
              </w:rPr>
            </w:pPr>
            <w:r w:rsidRPr="00495D82">
              <w:rPr>
                <w:rFonts w:ascii="Calibri" w:eastAsia="Calibri" w:hAnsi="Calibri" w:cs="Times New Roman"/>
                <w:b/>
                <w:sz w:val="20"/>
                <w:szCs w:val="20"/>
              </w:rPr>
              <w:t>Specialist resource requirements</w:t>
            </w:r>
          </w:p>
        </w:tc>
        <w:tc>
          <w:tcPr>
            <w:tcW w:w="7959" w:type="dxa"/>
            <w:shd w:val="clear" w:color="auto" w:fill="auto"/>
            <w:vAlign w:val="center"/>
          </w:tcPr>
          <w:p w14:paraId="2639D5BD" w14:textId="77777777" w:rsidR="00C81A17" w:rsidRPr="00495D82" w:rsidRDefault="00C81A17" w:rsidP="00A02648">
            <w:pPr>
              <w:spacing w:before="120" w:after="120"/>
              <w:ind w:right="-57"/>
              <w:rPr>
                <w:rFonts w:ascii="Calibri" w:hAnsi="Calibri"/>
                <w:sz w:val="20"/>
                <w:szCs w:val="20"/>
              </w:rPr>
            </w:pPr>
            <w:r w:rsidRPr="0093777A">
              <w:rPr>
                <w:rFonts w:ascii="Calibri" w:hAnsi="Calibri"/>
                <w:noProof/>
                <w:sz w:val="20"/>
                <w:szCs w:val="20"/>
              </w:rPr>
              <w:t>Nil.</w:t>
            </w:r>
          </w:p>
        </w:tc>
      </w:tr>
    </w:tbl>
    <w:p w14:paraId="32F35F74" w14:textId="77777777" w:rsidR="00C81A17" w:rsidRDefault="00C81A17" w:rsidP="003D1FA6">
      <w:pPr>
        <w:jc w:val="center"/>
        <w:sectPr w:rsidR="00C81A17" w:rsidSect="00A0264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pgNumType w:start="1"/>
          <w:cols w:space="708"/>
          <w:docGrid w:linePitch="360"/>
        </w:sectPr>
      </w:pPr>
    </w:p>
    <w:p w14:paraId="3DA1B6BD" w14:textId="77777777" w:rsidR="00C81A17" w:rsidRPr="003D1FA6" w:rsidRDefault="00C81A17" w:rsidP="003D1FA6">
      <w:pPr>
        <w:jc w:val="center"/>
      </w:pPr>
    </w:p>
    <w:sectPr w:rsidR="00C81A17" w:rsidRPr="003D1FA6" w:rsidSect="0060380E">
      <w:footerReference w:type="default" r:id="rId18"/>
      <w:type w:val="continuous"/>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B7D4B" w14:textId="77777777" w:rsidR="00DA181D" w:rsidRDefault="00DA181D" w:rsidP="00FC587F">
      <w:pPr>
        <w:spacing w:after="0" w:line="240" w:lineRule="auto"/>
      </w:pPr>
      <w:r>
        <w:separator/>
      </w:r>
    </w:p>
  </w:endnote>
  <w:endnote w:type="continuationSeparator" w:id="0">
    <w:p w14:paraId="31CAC0D8" w14:textId="77777777" w:rsidR="00DA181D" w:rsidRDefault="00DA181D" w:rsidP="00FC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BDDA" w14:textId="77777777" w:rsidR="00C81A17" w:rsidRDefault="00C81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32CE7" w14:textId="77777777" w:rsidR="00C81A17" w:rsidRPr="00F40809" w:rsidRDefault="00C81A17" w:rsidP="00F40809">
    <w:pPr>
      <w:pStyle w:val="Footer"/>
      <w:tabs>
        <w:tab w:val="right" w:pos="15989"/>
      </w:tabs>
      <w:jc w:val="cen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5272" w14:textId="77777777" w:rsidR="00C81A17" w:rsidRDefault="00C81A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EB76" w14:textId="77777777" w:rsidR="00AF4AA6" w:rsidRPr="00FC587F" w:rsidRDefault="00AF4AA6" w:rsidP="00FC587F">
    <w:pPr>
      <w:pBdr>
        <w:top w:val="single" w:sz="8" w:space="1" w:color="000000"/>
      </w:pBdr>
      <w:tabs>
        <w:tab w:val="center" w:pos="4536"/>
        <w:tab w:val="right" w:pos="9072"/>
      </w:tabs>
      <w:spacing w:after="0" w:line="240" w:lineRule="auto"/>
      <w:rPr>
        <w:rFonts w:ascii="Arial Narrow" w:eastAsia="Times New Roman" w:hAnsi="Arial Narrow" w:cs="Estrangelo Edessa"/>
        <w:i/>
        <w:sz w:val="16"/>
        <w:szCs w:val="16"/>
        <w:lang w:val="en-GB"/>
      </w:rPr>
    </w:pPr>
    <w:r>
      <w:rPr>
        <w:rFonts w:ascii="Arial Narrow" w:eastAsia="Times New Roman" w:hAnsi="Arial Narrow" w:cs="Estrangelo Edessa"/>
        <w:i/>
        <w:sz w:val="16"/>
        <w:szCs w:val="16"/>
        <w:lang w:val="en-GB"/>
      </w:rPr>
      <w:t>CHC</w:t>
    </w:r>
    <w:r w:rsidRPr="00FC587F">
      <w:rPr>
        <w:rFonts w:ascii="Arial Narrow" w:eastAsia="Times New Roman" w:hAnsi="Arial Narrow" w:cs="Estrangelo Edessa"/>
        <w:i/>
        <w:sz w:val="16"/>
        <w:szCs w:val="16"/>
        <w:lang w:val="en-GB"/>
      </w:rPr>
      <w:t xml:space="preserve">: </w:t>
    </w:r>
    <w:r w:rsidR="002D46E9" w:rsidRPr="00480DA3">
      <w:rPr>
        <w:rFonts w:ascii="Arial Narrow" w:eastAsia="Times New Roman" w:hAnsi="Arial Narrow" w:cs="Estrangelo Edessa"/>
        <w:i/>
        <w:noProof/>
        <w:sz w:val="16"/>
        <w:szCs w:val="16"/>
        <w:lang w:val="en-GB"/>
      </w:rPr>
      <w:t>BZ201</w:t>
    </w:r>
    <w:r>
      <w:rPr>
        <w:rFonts w:ascii="Arial Narrow" w:eastAsia="Times New Roman" w:hAnsi="Arial Narrow" w:cs="Estrangelo Edessa"/>
        <w:i/>
        <w:sz w:val="16"/>
        <w:szCs w:val="16"/>
        <w:lang w:val="en-GB"/>
      </w:rPr>
      <w:t xml:space="preserve"> S</w:t>
    </w:r>
    <w:r w:rsidR="002D46E9" w:rsidRPr="00480DA3">
      <w:rPr>
        <w:rFonts w:ascii="Arial Narrow" w:eastAsia="Times New Roman" w:hAnsi="Arial Narrow" w:cs="Estrangelo Edessa"/>
        <w:i/>
        <w:noProof/>
        <w:sz w:val="16"/>
        <w:szCs w:val="16"/>
        <w:lang w:val="en-GB"/>
      </w:rPr>
      <w:t>1</w:t>
    </w:r>
    <w:r w:rsidRPr="00FC587F">
      <w:rPr>
        <w:rFonts w:ascii="Arial Narrow" w:eastAsia="Times New Roman" w:hAnsi="Arial Narrow" w:cs="Estrangelo Edessa"/>
        <w:i/>
        <w:sz w:val="16"/>
        <w:szCs w:val="16"/>
        <w:lang w:val="en-GB"/>
      </w:rPr>
      <w:t xml:space="preserve"> </w:t>
    </w:r>
    <w:r w:rsidR="002D46E9" w:rsidRPr="00480DA3">
      <w:rPr>
        <w:rFonts w:ascii="Arial Narrow" w:eastAsia="Times New Roman" w:hAnsi="Arial Narrow" w:cs="Estrangelo Edessa"/>
        <w:i/>
        <w:noProof/>
        <w:sz w:val="16"/>
        <w:szCs w:val="16"/>
        <w:lang w:val="en-GB"/>
      </w:rPr>
      <w:t>2018</w:t>
    </w:r>
    <w:r w:rsidRPr="00FC587F">
      <w:rPr>
        <w:rFonts w:ascii="Arial Narrow" w:eastAsia="Times New Roman" w:hAnsi="Arial Narrow" w:cs="Estrangelo Edessa"/>
        <w:i/>
        <w:sz w:val="16"/>
        <w:szCs w:val="16"/>
        <w:lang w:val="en-GB"/>
      </w:rPr>
      <w:tab/>
    </w:r>
    <w:r w:rsidRPr="00FC587F">
      <w:rPr>
        <w:sz w:val="16"/>
        <w:szCs w:val="16"/>
      </w:rPr>
      <w:t xml:space="preserve">Page </w:t>
    </w:r>
    <w:r w:rsidRPr="00FC587F">
      <w:rPr>
        <w:sz w:val="16"/>
        <w:szCs w:val="16"/>
      </w:rPr>
      <w:fldChar w:fldCharType="begin"/>
    </w:r>
    <w:r w:rsidRPr="00FC587F">
      <w:rPr>
        <w:sz w:val="16"/>
        <w:szCs w:val="16"/>
      </w:rPr>
      <w:instrText xml:space="preserve"> PAGE </w:instrText>
    </w:r>
    <w:r w:rsidRPr="00FC587F">
      <w:rPr>
        <w:sz w:val="16"/>
        <w:szCs w:val="16"/>
      </w:rPr>
      <w:fldChar w:fldCharType="separate"/>
    </w:r>
    <w:r>
      <w:rPr>
        <w:noProof/>
        <w:sz w:val="16"/>
        <w:szCs w:val="16"/>
      </w:rPr>
      <w:t>4</w:t>
    </w:r>
    <w:r w:rsidRPr="00FC587F">
      <w:rPr>
        <w:sz w:val="16"/>
        <w:szCs w:val="16"/>
      </w:rPr>
      <w:fldChar w:fldCharType="end"/>
    </w:r>
    <w:r w:rsidRPr="00FC587F">
      <w:rPr>
        <w:rFonts w:ascii="Arial Narrow" w:eastAsia="Times New Roman" w:hAnsi="Arial Narrow" w:cs="Estrangelo Edessa"/>
        <w:i/>
        <w:sz w:val="16"/>
        <w:szCs w:val="16"/>
        <w:lang w:val="en-GB"/>
      </w:rPr>
      <w:tab/>
      <w:t xml:space="preserve">Author: </w:t>
    </w:r>
    <w:r w:rsidRPr="0018271F">
      <w:rPr>
        <w:rFonts w:ascii="Arial Narrow" w:eastAsia="Times New Roman" w:hAnsi="Arial Narrow" w:cs="Estrangelo Edessa"/>
        <w:i/>
        <w:sz w:val="16"/>
        <w:szCs w:val="16"/>
        <w:lang w:val="en-GB"/>
      </w:rPr>
      <w:t>School of Education</w:t>
    </w:r>
    <w:r>
      <w:rPr>
        <w:rFonts w:ascii="Arial Narrow" w:eastAsia="Times New Roman" w:hAnsi="Arial Narrow" w:cs="Estrangelo Edessa"/>
        <w:i/>
        <w:sz w:val="16"/>
        <w:szCs w:val="16"/>
        <w:lang w:val="en-GB"/>
      </w:rPr>
      <w:t xml:space="preserve"> </w:t>
    </w:r>
    <w:r w:rsidRPr="0018271F">
      <w:rPr>
        <w:rFonts w:ascii="Arial Narrow" w:eastAsia="Times New Roman" w:hAnsi="Arial Narrow" w:cs="Estrangelo Edessa"/>
        <w:i/>
        <w:sz w:val="16"/>
        <w:szCs w:val="16"/>
        <w:lang w:val="en-GB"/>
      </w:rPr>
      <w:t>and Business (Business)</w:t>
    </w:r>
  </w:p>
  <w:p w14:paraId="5EA7CCBB" w14:textId="07DD31D3" w:rsidR="00AF4AA6" w:rsidRPr="00FC587F" w:rsidRDefault="00AF4AA6" w:rsidP="00FC587F">
    <w:pPr>
      <w:tabs>
        <w:tab w:val="center" w:pos="4536"/>
        <w:tab w:val="right" w:pos="9072"/>
        <w:tab w:val="right" w:pos="15989"/>
      </w:tabs>
      <w:spacing w:after="0" w:line="240" w:lineRule="auto"/>
      <w:rPr>
        <w:rFonts w:ascii="Arial Narrow" w:eastAsia="Times New Roman" w:hAnsi="Arial Narrow" w:cs="Estrangelo Edessa"/>
        <w:i/>
        <w:sz w:val="16"/>
        <w:szCs w:val="16"/>
        <w:lang w:val="en-GB"/>
      </w:rPr>
    </w:pPr>
    <w:r w:rsidRPr="00FC587F">
      <w:rPr>
        <w:rFonts w:ascii="Arial Narrow" w:eastAsia="Times New Roman" w:hAnsi="Arial Narrow" w:cs="Estrangelo Edessa"/>
        <w:i/>
        <w:sz w:val="16"/>
        <w:szCs w:val="16"/>
        <w:lang w:val="en-GB"/>
      </w:rPr>
      <w:t>CRICOS Provider Name: Christian Heritage College</w:t>
    </w:r>
    <w:r w:rsidRPr="00FC587F">
      <w:rPr>
        <w:rFonts w:ascii="Arial Narrow" w:eastAsia="Times New Roman" w:hAnsi="Arial Narrow" w:cs="Estrangelo Edessa"/>
        <w:i/>
        <w:sz w:val="16"/>
        <w:szCs w:val="16"/>
        <w:lang w:val="en-GB"/>
      </w:rPr>
      <w:tab/>
    </w:r>
    <w:r w:rsidRPr="00FC587F">
      <w:rPr>
        <w:rFonts w:ascii="Arial Narrow" w:eastAsia="Times New Roman" w:hAnsi="Arial Narrow" w:cs="Estrangelo Edessa"/>
        <w:i/>
        <w:sz w:val="16"/>
        <w:szCs w:val="16"/>
        <w:lang w:val="en-GB"/>
      </w:rPr>
      <w:fldChar w:fldCharType="begin"/>
    </w:r>
    <w:r w:rsidRPr="00FC587F">
      <w:rPr>
        <w:rFonts w:ascii="Arial Narrow" w:eastAsia="Times New Roman" w:hAnsi="Arial Narrow" w:cs="Estrangelo Edessa"/>
        <w:i/>
        <w:sz w:val="16"/>
        <w:szCs w:val="16"/>
        <w:lang w:val="en-GB"/>
      </w:rPr>
      <w:instrText xml:space="preserve"> DATE \@ "dd/MM/yy" </w:instrText>
    </w:r>
    <w:r w:rsidRPr="00FC587F">
      <w:rPr>
        <w:rFonts w:ascii="Arial Narrow" w:eastAsia="Times New Roman" w:hAnsi="Arial Narrow" w:cs="Estrangelo Edessa"/>
        <w:i/>
        <w:sz w:val="16"/>
        <w:szCs w:val="16"/>
        <w:lang w:val="en-GB"/>
      </w:rPr>
      <w:fldChar w:fldCharType="separate"/>
    </w:r>
    <w:r w:rsidR="000C2B29">
      <w:rPr>
        <w:rFonts w:ascii="Arial Narrow" w:eastAsia="Times New Roman" w:hAnsi="Arial Narrow" w:cs="Estrangelo Edessa"/>
        <w:i/>
        <w:noProof/>
        <w:sz w:val="16"/>
        <w:szCs w:val="16"/>
        <w:lang w:val="en-GB"/>
      </w:rPr>
      <w:t>12/05/20</w:t>
    </w:r>
    <w:r w:rsidRPr="00FC587F">
      <w:rPr>
        <w:rFonts w:ascii="Arial Narrow" w:eastAsia="Times New Roman" w:hAnsi="Arial Narrow" w:cs="Estrangelo Edessa"/>
        <w:i/>
        <w:sz w:val="16"/>
        <w:szCs w:val="16"/>
        <w:lang w:val="en-GB"/>
      </w:rPr>
      <w:fldChar w:fldCharType="end"/>
    </w:r>
    <w:r w:rsidRPr="00FC587F">
      <w:rPr>
        <w:rFonts w:ascii="Arial Narrow" w:eastAsia="Times New Roman" w:hAnsi="Arial Narrow" w:cs="Estrangelo Edessa"/>
        <w:i/>
        <w:sz w:val="16"/>
        <w:szCs w:val="16"/>
        <w:lang w:val="en-GB"/>
      </w:rPr>
      <w:t xml:space="preserve"> (v1)</w:t>
    </w:r>
    <w:r w:rsidRPr="00FC587F">
      <w:rPr>
        <w:rFonts w:ascii="Arial Narrow" w:eastAsia="Times New Roman" w:hAnsi="Arial Narrow" w:cs="Estrangelo Edessa"/>
        <w:i/>
        <w:sz w:val="16"/>
        <w:szCs w:val="16"/>
        <w:lang w:val="en-GB"/>
      </w:rPr>
      <w:tab/>
      <w:t>Authorised: Academic Board</w:t>
    </w:r>
  </w:p>
  <w:p w14:paraId="66660AFB" w14:textId="77777777" w:rsidR="00AF4AA6" w:rsidRPr="00FC587F" w:rsidRDefault="00AF4AA6" w:rsidP="00FC587F">
    <w:pPr>
      <w:tabs>
        <w:tab w:val="center" w:pos="4536"/>
        <w:tab w:val="right" w:pos="9072"/>
        <w:tab w:val="right" w:pos="15989"/>
      </w:tabs>
      <w:spacing w:after="0" w:line="240" w:lineRule="auto"/>
      <w:jc w:val="both"/>
      <w:rPr>
        <w:rFonts w:ascii="Arial Narrow" w:eastAsia="Times New Roman" w:hAnsi="Arial Narrow" w:cs="Times New Roman"/>
        <w:sz w:val="16"/>
        <w:szCs w:val="16"/>
        <w:lang w:val="en-GB"/>
      </w:rPr>
    </w:pPr>
    <w:r w:rsidRPr="00FC587F">
      <w:rPr>
        <w:rFonts w:ascii="Arial Narrow" w:eastAsia="Times New Roman" w:hAnsi="Arial Narrow" w:cs="Estrangelo Edessa"/>
        <w:i/>
        <w:sz w:val="16"/>
        <w:szCs w:val="16"/>
        <w:lang w:val="en-GB"/>
      </w:rPr>
      <w:t>CRICOS Provider Number: 01016F</w:t>
    </w:r>
    <w:r w:rsidRPr="00FC587F">
      <w:rPr>
        <w:rFonts w:ascii="Arial Narrow" w:eastAsia="Times New Roman" w:hAnsi="Arial Narrow" w:cs="Estrangelo Edessa"/>
        <w:i/>
        <w:sz w:val="16"/>
        <w:szCs w:val="16"/>
        <w:lang w:val="en-GB"/>
      </w:rPr>
      <w:tab/>
    </w:r>
    <w:hyperlink r:id="rId1" w:history="1">
      <w:r w:rsidRPr="00FC587F">
        <w:rPr>
          <w:rFonts w:ascii="Arial Narrow" w:eastAsia="Times New Roman" w:hAnsi="Arial Narrow" w:cs="Estrangelo Edessa"/>
          <w:i/>
          <w:color w:val="0000FF"/>
          <w:sz w:val="16"/>
          <w:szCs w:val="16"/>
          <w:u w:val="single"/>
          <w:lang w:val="en-GB"/>
        </w:rPr>
        <w:t>www.chc.edu.au</w:t>
      </w:r>
    </w:hyperlink>
    <w:r w:rsidRPr="00FC587F">
      <w:rPr>
        <w:rFonts w:ascii="Arial Narrow" w:eastAsia="Times New Roman" w:hAnsi="Arial Narrow" w:cs="Estrangelo Edessa"/>
        <w:i/>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9F2CC" w14:textId="77777777" w:rsidR="00DA181D" w:rsidRDefault="00DA181D" w:rsidP="00FC587F">
      <w:pPr>
        <w:spacing w:after="0" w:line="240" w:lineRule="auto"/>
      </w:pPr>
      <w:r>
        <w:separator/>
      </w:r>
    </w:p>
  </w:footnote>
  <w:footnote w:type="continuationSeparator" w:id="0">
    <w:p w14:paraId="22489F8A" w14:textId="77777777" w:rsidR="00DA181D" w:rsidRDefault="00DA181D" w:rsidP="00FC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E726" w14:textId="77777777" w:rsidR="00C81A17" w:rsidRDefault="00C81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0F7D" w14:textId="77777777" w:rsidR="00C81A17" w:rsidRDefault="00C81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D16D" w14:textId="77777777" w:rsidR="00C81A17" w:rsidRDefault="00C81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6A06FDB"/>
    <w:multiLevelType w:val="multilevel"/>
    <w:tmpl w:val="F65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2BE94400"/>
    <w:multiLevelType w:val="multilevel"/>
    <w:tmpl w:val="E1E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4A8B7F94"/>
    <w:multiLevelType w:val="hybridMultilevel"/>
    <w:tmpl w:val="32A67EAA"/>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3" w15:restartNumberingAfterBreak="1">
    <w:nsid w:val="5A3D2BD3"/>
    <w:multiLevelType w:val="hybridMultilevel"/>
    <w:tmpl w:val="E872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5D4F73E3"/>
    <w:multiLevelType w:val="hybridMultilevel"/>
    <w:tmpl w:val="54687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63045917"/>
    <w:multiLevelType w:val="hybridMultilevel"/>
    <w:tmpl w:val="35184820"/>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wMjc2NjEwNDMwMjBX0lEKTi0uzszPAykwqwUAkTrF7CwAAAA="/>
  </w:docVars>
  <w:rsids>
    <w:rsidRoot w:val="002D46E9"/>
    <w:rsid w:val="000012D4"/>
    <w:rsid w:val="0002082F"/>
    <w:rsid w:val="000343BE"/>
    <w:rsid w:val="000C2B29"/>
    <w:rsid w:val="000E4B64"/>
    <w:rsid w:val="0013340C"/>
    <w:rsid w:val="0018271F"/>
    <w:rsid w:val="001A599A"/>
    <w:rsid w:val="001B27D9"/>
    <w:rsid w:val="001B3CEA"/>
    <w:rsid w:val="001C2DAF"/>
    <w:rsid w:val="001E0A01"/>
    <w:rsid w:val="00200D35"/>
    <w:rsid w:val="00207350"/>
    <w:rsid w:val="00207A85"/>
    <w:rsid w:val="00224D41"/>
    <w:rsid w:val="00237C7C"/>
    <w:rsid w:val="00242220"/>
    <w:rsid w:val="002613D3"/>
    <w:rsid w:val="002811F5"/>
    <w:rsid w:val="00290E59"/>
    <w:rsid w:val="00297F71"/>
    <w:rsid w:val="002A7187"/>
    <w:rsid w:val="002D46E9"/>
    <w:rsid w:val="002F4BA6"/>
    <w:rsid w:val="00314ED5"/>
    <w:rsid w:val="003234E3"/>
    <w:rsid w:val="003264DD"/>
    <w:rsid w:val="00332783"/>
    <w:rsid w:val="00352CAA"/>
    <w:rsid w:val="00387E88"/>
    <w:rsid w:val="0039699A"/>
    <w:rsid w:val="003E7B4E"/>
    <w:rsid w:val="00440565"/>
    <w:rsid w:val="004916B0"/>
    <w:rsid w:val="004935A3"/>
    <w:rsid w:val="004A725E"/>
    <w:rsid w:val="004D750A"/>
    <w:rsid w:val="004D75AC"/>
    <w:rsid w:val="004F2167"/>
    <w:rsid w:val="0053459F"/>
    <w:rsid w:val="00547980"/>
    <w:rsid w:val="00552EC9"/>
    <w:rsid w:val="00554B73"/>
    <w:rsid w:val="005C7344"/>
    <w:rsid w:val="005F11C8"/>
    <w:rsid w:val="0060380E"/>
    <w:rsid w:val="00604436"/>
    <w:rsid w:val="00607223"/>
    <w:rsid w:val="0064740B"/>
    <w:rsid w:val="0067228D"/>
    <w:rsid w:val="0067759F"/>
    <w:rsid w:val="006938DA"/>
    <w:rsid w:val="006A0724"/>
    <w:rsid w:val="006A2BD0"/>
    <w:rsid w:val="006B7CF6"/>
    <w:rsid w:val="006E3B10"/>
    <w:rsid w:val="006F6624"/>
    <w:rsid w:val="00720365"/>
    <w:rsid w:val="0074351C"/>
    <w:rsid w:val="00751565"/>
    <w:rsid w:val="00757375"/>
    <w:rsid w:val="007646DD"/>
    <w:rsid w:val="0076679D"/>
    <w:rsid w:val="00796D7E"/>
    <w:rsid w:val="007A66F8"/>
    <w:rsid w:val="007D29F8"/>
    <w:rsid w:val="007E2856"/>
    <w:rsid w:val="0084010A"/>
    <w:rsid w:val="008442D8"/>
    <w:rsid w:val="00845A9A"/>
    <w:rsid w:val="0085516E"/>
    <w:rsid w:val="00882C93"/>
    <w:rsid w:val="008D5272"/>
    <w:rsid w:val="008D5C1C"/>
    <w:rsid w:val="008E3A2C"/>
    <w:rsid w:val="00907920"/>
    <w:rsid w:val="009643A7"/>
    <w:rsid w:val="00971AB1"/>
    <w:rsid w:val="00972397"/>
    <w:rsid w:val="0097575B"/>
    <w:rsid w:val="009875EA"/>
    <w:rsid w:val="00990202"/>
    <w:rsid w:val="009939CB"/>
    <w:rsid w:val="009966B0"/>
    <w:rsid w:val="009A6E85"/>
    <w:rsid w:val="009E0B9B"/>
    <w:rsid w:val="00A12368"/>
    <w:rsid w:val="00A37D3C"/>
    <w:rsid w:val="00A65AD2"/>
    <w:rsid w:val="00A66A58"/>
    <w:rsid w:val="00A72BDD"/>
    <w:rsid w:val="00AA582B"/>
    <w:rsid w:val="00AB3E69"/>
    <w:rsid w:val="00AC6920"/>
    <w:rsid w:val="00AD4360"/>
    <w:rsid w:val="00AF4AA6"/>
    <w:rsid w:val="00B520BB"/>
    <w:rsid w:val="00B5595C"/>
    <w:rsid w:val="00B61BD5"/>
    <w:rsid w:val="00B76DAD"/>
    <w:rsid w:val="00B8222F"/>
    <w:rsid w:val="00BA47BF"/>
    <w:rsid w:val="00BA5492"/>
    <w:rsid w:val="00BA760E"/>
    <w:rsid w:val="00BC582B"/>
    <w:rsid w:val="00BD1323"/>
    <w:rsid w:val="00C321BA"/>
    <w:rsid w:val="00C5136B"/>
    <w:rsid w:val="00C81A17"/>
    <w:rsid w:val="00C91879"/>
    <w:rsid w:val="00D01B47"/>
    <w:rsid w:val="00D867A4"/>
    <w:rsid w:val="00D86EFB"/>
    <w:rsid w:val="00D9437F"/>
    <w:rsid w:val="00DA181D"/>
    <w:rsid w:val="00DC5D49"/>
    <w:rsid w:val="00DE4DA7"/>
    <w:rsid w:val="00DF59AD"/>
    <w:rsid w:val="00E963DF"/>
    <w:rsid w:val="00EC488F"/>
    <w:rsid w:val="00EE7C7C"/>
    <w:rsid w:val="00F10D31"/>
    <w:rsid w:val="00F2416A"/>
    <w:rsid w:val="00F25065"/>
    <w:rsid w:val="00F32E47"/>
    <w:rsid w:val="00F76749"/>
    <w:rsid w:val="00F80338"/>
    <w:rsid w:val="00FA133B"/>
    <w:rsid w:val="00FC5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40CA0"/>
  <w15:docId w15:val="{0B03255E-976A-4C50-81DC-76B05E3C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7F"/>
    <w:rPr>
      <w:rFonts w:ascii="Tahoma" w:hAnsi="Tahoma" w:cs="Tahoma"/>
      <w:sz w:val="16"/>
      <w:szCs w:val="16"/>
    </w:rPr>
  </w:style>
  <w:style w:type="paragraph" w:styleId="Header">
    <w:name w:val="header"/>
    <w:basedOn w:val="Normal"/>
    <w:link w:val="HeaderChar"/>
    <w:uiPriority w:val="99"/>
    <w:unhideWhenUsed/>
    <w:rsid w:val="00FC5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87F"/>
  </w:style>
  <w:style w:type="paragraph" w:styleId="Footer">
    <w:name w:val="footer"/>
    <w:basedOn w:val="Normal"/>
    <w:link w:val="FooterChar"/>
    <w:uiPriority w:val="99"/>
    <w:unhideWhenUsed/>
    <w:qFormat/>
    <w:rsid w:val="00FC5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87F"/>
  </w:style>
  <w:style w:type="table" w:styleId="TableGrid">
    <w:name w:val="Table Grid"/>
    <w:basedOn w:val="TableNormal"/>
    <w:uiPriority w:val="39"/>
    <w:rsid w:val="00FC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87F"/>
    <w:pPr>
      <w:ind w:left="720"/>
      <w:contextualSpacing/>
    </w:pPr>
  </w:style>
  <w:style w:type="character" w:customStyle="1" w:styleId="normaltextrun">
    <w:name w:val="normaltextrun"/>
    <w:basedOn w:val="DefaultParagraphFont"/>
    <w:rsid w:val="009966B0"/>
  </w:style>
  <w:style w:type="paragraph" w:customStyle="1" w:styleId="UnitText">
    <w:name w:val="Unit Text"/>
    <w:basedOn w:val="Normal"/>
    <w:uiPriority w:val="99"/>
    <w:rsid w:val="00EC488F"/>
    <w:pPr>
      <w:spacing w:before="120" w:after="120" w:line="240" w:lineRule="auto"/>
      <w:jc w:val="both"/>
    </w:pPr>
    <w:rPr>
      <w:rFonts w:ascii="Gill Sans MT" w:eastAsia="Times New Roman" w:hAnsi="Gill Sans MT" w:cs="Lucida Sans Unicode"/>
      <w:sz w:val="20"/>
      <w:szCs w:val="18"/>
    </w:rPr>
  </w:style>
  <w:style w:type="character" w:styleId="Hyperlink">
    <w:name w:val="Hyperlink"/>
    <w:basedOn w:val="DefaultParagraphFont"/>
    <w:uiPriority w:val="99"/>
    <w:unhideWhenUsed/>
    <w:rsid w:val="00EC4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F31DC63BDCC46A1D0D3A1E7668EB4" ma:contentTypeVersion="12" ma:contentTypeDescription="Create a new document." ma:contentTypeScope="" ma:versionID="b7b174213e4b154cdc7c844b4f6c6aff">
  <xsd:schema xmlns:xsd="http://www.w3.org/2001/XMLSchema" xmlns:xs="http://www.w3.org/2001/XMLSchema" xmlns:p="http://schemas.microsoft.com/office/2006/metadata/properties" xmlns:ns2="7684bf07-6498-4aa7-9fc0-61ad8915b305" xmlns:ns3="c0a04f9f-1113-46b5-b67a-a4a74fcd0656" targetNamespace="http://schemas.microsoft.com/office/2006/metadata/properties" ma:root="true" ma:fieldsID="9b40c06383577c59629ae02ef4851789" ns2:_="" ns3:_="">
    <xsd:import namespace="7684bf07-6498-4aa7-9fc0-61ad8915b305"/>
    <xsd:import namespace="c0a04f9f-1113-46b5-b67a-a4a74fcd0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4bf07-6498-4aa7-9fc0-61ad8915b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04f9f-1113-46b5-b67a-a4a74fcd06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9202-1DF9-42E9-AD1B-35A28DFE5B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06D94-A385-48AD-AC72-911EB8D3D315}">
  <ds:schemaRefs>
    <ds:schemaRef ds:uri="http://schemas.microsoft.com/sharepoint/v3/contenttype/forms"/>
  </ds:schemaRefs>
</ds:datastoreItem>
</file>

<file path=customXml/itemProps3.xml><?xml version="1.0" encoding="utf-8"?>
<ds:datastoreItem xmlns:ds="http://schemas.openxmlformats.org/officeDocument/2006/customXml" ds:itemID="{6A21A082-F7EB-4BA4-9BF4-18825422C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4bf07-6498-4aa7-9fc0-61ad8915b305"/>
    <ds:schemaRef ds:uri="c0a04f9f-1113-46b5-b67a-a4a74fcd0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A9896-E7CB-465B-A038-15BE3368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Murison</dc:creator>
  <cp:lastModifiedBy>Emily Swann</cp:lastModifiedBy>
  <cp:revision>2</cp:revision>
  <dcterms:created xsi:type="dcterms:W3CDTF">2020-05-12T06:36:00Z</dcterms:created>
  <dcterms:modified xsi:type="dcterms:W3CDTF">2020-05-12T06:36:00Z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0x01010059AF31DC63BDCC46A1D0D3A1E7668EB4</vt:lpwstr>
  </property>
</Properties>
</file>